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707494" w14:textId="77777777" w:rsidR="00AE785C" w:rsidRDefault="00AE785C">
      <w:pPr>
        <w:pStyle w:val="Title"/>
        <w:rPr>
          <w:sz w:val="28"/>
          <w:szCs w:val="28"/>
          <w:u w:val="single"/>
        </w:rPr>
      </w:pPr>
      <w:r>
        <w:rPr>
          <w:sz w:val="28"/>
          <w:szCs w:val="28"/>
          <w:u w:val="single"/>
        </w:rPr>
        <w:t>PERMIT REVIEW SUMMARY</w:t>
      </w:r>
    </w:p>
    <w:p w14:paraId="30353665" w14:textId="77777777" w:rsidR="00AE785C" w:rsidRDefault="00AE785C">
      <w:pPr>
        <w:pStyle w:val="Title"/>
        <w:jc w:val="both"/>
      </w:pPr>
    </w:p>
    <w:p w14:paraId="04749870" w14:textId="77777777" w:rsidR="00233312" w:rsidRDefault="00233312" w:rsidP="00233312">
      <w:pPr>
        <w:pStyle w:val="Title"/>
        <w:jc w:val="both"/>
      </w:pPr>
      <w:r>
        <w:t>Permit Writer:</w:t>
      </w:r>
      <w:r>
        <w:tab/>
      </w:r>
      <w:r w:rsidR="00795AFF">
        <w:rPr>
          <w:b w:val="0"/>
        </w:rPr>
        <w:t>Chappell Ford</w:t>
      </w:r>
      <w:r w:rsidR="00795AFF">
        <w:rPr>
          <w:b w:val="0"/>
        </w:rPr>
        <w:tab/>
      </w:r>
      <w:r w:rsidR="00795AFF">
        <w:rPr>
          <w:b w:val="0"/>
        </w:rPr>
        <w:tab/>
      </w:r>
      <w:r w:rsidR="00795AFF">
        <w:rPr>
          <w:b w:val="0"/>
        </w:rPr>
        <w:tab/>
      </w:r>
      <w:r>
        <w:rPr>
          <w:b w:val="0"/>
        </w:rPr>
        <w:t xml:space="preserve"> </w:t>
      </w:r>
      <w:r>
        <w:rPr>
          <w:b w:val="0"/>
        </w:rPr>
        <w:tab/>
      </w:r>
      <w:r>
        <w:t>Date:</w:t>
      </w:r>
      <w:r>
        <w:rPr>
          <w:b w:val="0"/>
        </w:rPr>
        <w:tab/>
      </w:r>
      <w:r w:rsidR="00674247">
        <w:rPr>
          <w:b w:val="0"/>
        </w:rPr>
        <w:t>April 1, 2026</w:t>
      </w:r>
    </w:p>
    <w:p w14:paraId="0808A8B4" w14:textId="77777777" w:rsidR="00562523" w:rsidRDefault="00562523">
      <w:pPr>
        <w:pStyle w:val="Title"/>
        <w:jc w:val="both"/>
      </w:pPr>
    </w:p>
    <w:p w14:paraId="4F3CB4B7" w14:textId="77777777" w:rsidR="00AE785C" w:rsidRDefault="00AE785C">
      <w:pPr>
        <w:pStyle w:val="Title"/>
        <w:jc w:val="both"/>
      </w:pPr>
      <w:r>
        <w:t>Company Name:</w:t>
      </w:r>
      <w:r>
        <w:tab/>
      </w:r>
      <w:r>
        <w:rPr>
          <w:b w:val="0"/>
          <w:bCs w:val="0"/>
        </w:rPr>
        <w:t>Tinsley Resources LLC, Tinsley Pipeline System</w:t>
      </w:r>
    </w:p>
    <w:p w14:paraId="66EDBA94" w14:textId="77777777" w:rsidR="00AE785C" w:rsidRDefault="00AE785C">
      <w:pPr>
        <w:pStyle w:val="Title"/>
        <w:jc w:val="both"/>
      </w:pPr>
    </w:p>
    <w:p w14:paraId="491BA166" w14:textId="77777777" w:rsidR="00AE785C" w:rsidRDefault="00AE785C">
      <w:pPr>
        <w:pStyle w:val="Title"/>
        <w:jc w:val="both"/>
        <w:rPr>
          <w:b w:val="0"/>
          <w:bCs w:val="0"/>
        </w:rPr>
      </w:pPr>
      <w:r>
        <w:t>Facility Location:</w:t>
      </w:r>
      <w:r>
        <w:tab/>
      </w:r>
      <w:r>
        <w:rPr>
          <w:b w:val="0"/>
          <w:bCs w:val="0"/>
        </w:rPr>
        <w:t>167 First Street</w:t>
      </w:r>
    </w:p>
    <w:p w14:paraId="440B9388" w14:textId="77777777" w:rsidR="00AE785C" w:rsidRDefault="00795AFF">
      <w:pPr>
        <w:pStyle w:val="Title"/>
        <w:ind w:left="2160"/>
        <w:jc w:val="both"/>
        <w:rPr>
          <w:b w:val="0"/>
          <w:bCs w:val="0"/>
        </w:rPr>
      </w:pPr>
      <w:r>
        <w:rPr>
          <w:b w:val="0"/>
          <w:bCs w:val="0"/>
        </w:rPr>
        <w:t>Tinsley, MS 39173</w:t>
      </w:r>
    </w:p>
    <w:p w14:paraId="0B279B35" w14:textId="77777777" w:rsidR="00AE785C" w:rsidRDefault="00AE785C">
      <w:pPr>
        <w:pStyle w:val="Title"/>
        <w:jc w:val="both"/>
      </w:pPr>
    </w:p>
    <w:p w14:paraId="0979E8B8" w14:textId="77777777" w:rsidR="00AE785C" w:rsidRDefault="00AE785C">
      <w:pPr>
        <w:pStyle w:val="Title"/>
        <w:jc w:val="both"/>
      </w:pPr>
      <w:r>
        <w:t>Source Number:</w:t>
      </w:r>
      <w:r>
        <w:tab/>
      </w:r>
      <w:r>
        <w:rPr>
          <w:b w:val="0"/>
          <w:bCs w:val="0"/>
        </w:rPr>
        <w:t>3020-00031</w:t>
      </w:r>
    </w:p>
    <w:p w14:paraId="24E1919E" w14:textId="77777777" w:rsidR="00AE785C" w:rsidRDefault="00AE785C">
      <w:pPr>
        <w:pStyle w:val="Title"/>
        <w:jc w:val="both"/>
      </w:pPr>
    </w:p>
    <w:p w14:paraId="7C9C2BC4" w14:textId="77777777" w:rsidR="00AE785C" w:rsidRDefault="00AE785C">
      <w:pPr>
        <w:pStyle w:val="Title"/>
        <w:jc w:val="both"/>
      </w:pPr>
      <w:r>
        <w:t xml:space="preserve">County: </w:t>
      </w:r>
      <w:r>
        <w:tab/>
      </w:r>
      <w:r>
        <w:tab/>
      </w:r>
      <w:r>
        <w:rPr>
          <w:b w:val="0"/>
          <w:bCs w:val="0"/>
        </w:rPr>
        <w:t>Yazoo</w:t>
      </w:r>
    </w:p>
    <w:p w14:paraId="0E480873" w14:textId="77777777" w:rsidR="00AE785C" w:rsidRDefault="00AE785C">
      <w:pPr>
        <w:pStyle w:val="Title"/>
        <w:jc w:val="both"/>
      </w:pPr>
    </w:p>
    <w:p w14:paraId="7C78DC32" w14:textId="77777777" w:rsidR="001D7E96" w:rsidRDefault="001D7E96" w:rsidP="001D7E96">
      <w:pPr>
        <w:pStyle w:val="Title"/>
        <w:jc w:val="both"/>
        <w:rPr>
          <w:u w:val="single"/>
        </w:rPr>
      </w:pPr>
      <w:r>
        <w:rPr>
          <w:u w:val="single"/>
        </w:rPr>
        <w:t>FACILITY DESCRIPTION</w:t>
      </w:r>
    </w:p>
    <w:p w14:paraId="43A461C0" w14:textId="77777777" w:rsidR="001D7E96" w:rsidRDefault="001D7E96" w:rsidP="001D7E96">
      <w:pPr>
        <w:pStyle w:val="Title"/>
        <w:jc w:val="both"/>
        <w:rPr>
          <w:u w:val="single"/>
        </w:rPr>
      </w:pPr>
    </w:p>
    <w:p w14:paraId="7CF3E540" w14:textId="77777777" w:rsidR="00795AFF" w:rsidRPr="0063209C" w:rsidRDefault="00795AFF" w:rsidP="00795AFF">
      <w:pPr>
        <w:pStyle w:val="Title"/>
        <w:spacing w:after="120"/>
        <w:jc w:val="both"/>
        <w:rPr>
          <w:b w:val="0"/>
          <w:bCs w:val="0"/>
        </w:rPr>
      </w:pPr>
      <w:r>
        <w:rPr>
          <w:b w:val="0"/>
          <w:bCs w:val="0"/>
        </w:rPr>
        <w:t>Tinsley Resources LLC</w:t>
      </w:r>
      <w:r w:rsidRPr="00C42739">
        <w:rPr>
          <w:b w:val="0"/>
        </w:rPr>
        <w:t xml:space="preserve"> owns and operates its </w:t>
      </w:r>
      <w:r>
        <w:rPr>
          <w:b w:val="0"/>
        </w:rPr>
        <w:t>Tinsley</w:t>
      </w:r>
      <w:r w:rsidRPr="006E4127">
        <w:rPr>
          <w:b w:val="0"/>
        </w:rPr>
        <w:t xml:space="preserve"> </w:t>
      </w:r>
      <w:r>
        <w:rPr>
          <w:b w:val="0"/>
        </w:rPr>
        <w:t>gathering facility</w:t>
      </w:r>
      <w:r w:rsidRPr="006E4127">
        <w:rPr>
          <w:b w:val="0"/>
        </w:rPr>
        <w:t xml:space="preserve"> </w:t>
      </w:r>
      <w:r>
        <w:rPr>
          <w:b w:val="0"/>
        </w:rPr>
        <w:t>which receives and stores crude oil prior to shipment through the facility’s pipeline to a transfer facility located near Mayersville, MS, or is pumped directly into the Mid Valley pipeline system near Mayersville.  The Tinsley</w:t>
      </w:r>
      <w:r w:rsidRPr="00C42739">
        <w:rPr>
          <w:b w:val="0"/>
        </w:rPr>
        <w:t xml:space="preserve"> </w:t>
      </w:r>
      <w:r>
        <w:rPr>
          <w:b w:val="0"/>
        </w:rPr>
        <w:t>gathering facility receives crude oil via pipeline, with custody transfer taking place at or near the facility boundary. The facility is also equipped with one (1) Lease Automatic Custody Transfer (LACT) unit, so that crude oil may also be received via trucks if the need arises.</w:t>
      </w:r>
      <w:r w:rsidRPr="00C42739">
        <w:rPr>
          <w:b w:val="0"/>
        </w:rPr>
        <w:t xml:space="preserve"> </w:t>
      </w:r>
    </w:p>
    <w:p w14:paraId="33AEB81E" w14:textId="3738341F" w:rsidR="00795AFF" w:rsidRDefault="00795AFF" w:rsidP="00795AFF">
      <w:pPr>
        <w:pStyle w:val="Title"/>
        <w:jc w:val="both"/>
        <w:rPr>
          <w:b w:val="0"/>
        </w:rPr>
      </w:pPr>
      <w:r w:rsidRPr="00C42739">
        <w:rPr>
          <w:b w:val="0"/>
        </w:rPr>
        <w:t xml:space="preserve">The </w:t>
      </w:r>
      <w:r>
        <w:rPr>
          <w:b w:val="0"/>
          <w:bCs w:val="0"/>
        </w:rPr>
        <w:t>facility</w:t>
      </w:r>
      <w:r w:rsidRPr="00C42739">
        <w:rPr>
          <w:b w:val="0"/>
        </w:rPr>
        <w:t xml:space="preserve"> operates </w:t>
      </w:r>
      <w:r>
        <w:rPr>
          <w:b w:val="0"/>
        </w:rPr>
        <w:t xml:space="preserve">two (2) storage tanks, including a 3,360,000 gallon (80,000 bbl) above ground fixed roof steel storage tank (Emission Point AA-001), and a 420,000 gallon (10,000 bbl) above ground internal floating roof storage tank (Emission Point AA-002), also constructed of steel.  Electric-powered pumps are used for the transfer of oil from the storage tanks to the pipeline. </w:t>
      </w:r>
      <w:r w:rsidRPr="004E4C91">
        <w:rPr>
          <w:b w:val="0"/>
        </w:rPr>
        <w:t xml:space="preserve">The standard industrial code (SIC) for the facility </w:t>
      </w:r>
      <w:r>
        <w:rPr>
          <w:b w:val="0"/>
        </w:rPr>
        <w:t>is</w:t>
      </w:r>
      <w:r w:rsidRPr="004E4C91">
        <w:rPr>
          <w:b w:val="0"/>
        </w:rPr>
        <w:t xml:space="preserve"> </w:t>
      </w:r>
      <w:r w:rsidR="00C65BAD">
        <w:rPr>
          <w:b w:val="0"/>
        </w:rPr>
        <w:t>1311</w:t>
      </w:r>
      <w:r w:rsidRPr="00C42739">
        <w:rPr>
          <w:b w:val="0"/>
        </w:rPr>
        <w:t>.</w:t>
      </w:r>
    </w:p>
    <w:p w14:paraId="50DA3814" w14:textId="77777777" w:rsidR="00795AFF" w:rsidRDefault="00795AFF" w:rsidP="00795AFF">
      <w:pPr>
        <w:pStyle w:val="Title"/>
        <w:jc w:val="both"/>
        <w:rPr>
          <w:b w:val="0"/>
        </w:rPr>
      </w:pPr>
    </w:p>
    <w:p w14:paraId="0F0715B9" w14:textId="77777777" w:rsidR="00C1082F" w:rsidRDefault="00C1082F" w:rsidP="00C1082F">
      <w:pPr>
        <w:pStyle w:val="Title"/>
        <w:jc w:val="both"/>
        <w:rPr>
          <w:b w:val="0"/>
          <w:bCs w:val="0"/>
        </w:rPr>
      </w:pPr>
      <w:r>
        <w:rPr>
          <w:b w:val="0"/>
        </w:rPr>
        <w:t>T</w:t>
      </w:r>
      <w:r w:rsidRPr="00AA0988">
        <w:rPr>
          <w:b w:val="0"/>
        </w:rPr>
        <w:t>he potential emissions for the facility are 70.3 tpy of VOC and 4.3 tpy total HAPs, as determined using TANKS ESP software, which utilizes the revised estimation procedures from AP-42, Chapter 7. The facility will therefore be a Synthetic Minor source for VOCs upon issuance of this permit.</w:t>
      </w:r>
    </w:p>
    <w:p w14:paraId="7A73A333" w14:textId="77777777" w:rsidR="00D11088" w:rsidRDefault="00D11088" w:rsidP="00795AFF">
      <w:pPr>
        <w:pStyle w:val="Title"/>
        <w:jc w:val="both"/>
        <w:rPr>
          <w:b w:val="0"/>
        </w:rPr>
      </w:pPr>
    </w:p>
    <w:tbl>
      <w:tblPr>
        <w:tblStyle w:val="TableGrid"/>
        <w:tblW w:w="9648" w:type="dxa"/>
        <w:tblInd w:w="0" w:type="dxa"/>
        <w:tblLook w:val="00A0" w:firstRow="1" w:lastRow="0" w:firstColumn="1" w:lastColumn="0" w:noHBand="0" w:noVBand="0"/>
      </w:tblPr>
      <w:tblGrid>
        <w:gridCol w:w="1368"/>
        <w:gridCol w:w="8280"/>
      </w:tblGrid>
      <w:tr w:rsidR="00D11088" w14:paraId="42036135" w14:textId="77777777" w:rsidTr="00C1082F">
        <w:trPr>
          <w:tblHeader/>
        </w:trPr>
        <w:tc>
          <w:tcPr>
            <w:tcW w:w="1368" w:type="dxa"/>
            <w:shd w:val="clear" w:color="auto" w:fill="BFBFBF"/>
            <w:vAlign w:val="bottom"/>
            <w:hideMark/>
          </w:tcPr>
          <w:p w14:paraId="70478D3F" w14:textId="77777777" w:rsidR="00D11088" w:rsidRDefault="00D11088" w:rsidP="00EB28E7">
            <w:pPr>
              <w:jc w:val="center"/>
              <w:rPr>
                <w:b/>
                <w:bCs/>
                <w:sz w:val="18"/>
                <w:szCs w:val="18"/>
              </w:rPr>
            </w:pPr>
            <w:r>
              <w:rPr>
                <w:b/>
                <w:bCs/>
                <w:sz w:val="18"/>
                <w:szCs w:val="18"/>
              </w:rPr>
              <w:t xml:space="preserve">Emission </w:t>
            </w:r>
          </w:p>
          <w:p w14:paraId="0402A3A6" w14:textId="77777777" w:rsidR="00D11088" w:rsidRDefault="00D11088" w:rsidP="00EB28E7">
            <w:pPr>
              <w:jc w:val="center"/>
              <w:rPr>
                <w:b/>
                <w:bCs/>
                <w:sz w:val="18"/>
                <w:szCs w:val="18"/>
              </w:rPr>
            </w:pPr>
            <w:r>
              <w:rPr>
                <w:b/>
                <w:bCs/>
                <w:sz w:val="18"/>
                <w:szCs w:val="18"/>
              </w:rPr>
              <w:t>Point</w:t>
            </w:r>
          </w:p>
        </w:tc>
        <w:tc>
          <w:tcPr>
            <w:tcW w:w="8280" w:type="dxa"/>
            <w:shd w:val="clear" w:color="auto" w:fill="BFBFBF"/>
            <w:vAlign w:val="bottom"/>
            <w:hideMark/>
          </w:tcPr>
          <w:p w14:paraId="744CD139" w14:textId="77777777" w:rsidR="00D11088" w:rsidRDefault="00D11088" w:rsidP="00EB28E7">
            <w:pPr>
              <w:jc w:val="center"/>
              <w:rPr>
                <w:b/>
                <w:bCs/>
                <w:sz w:val="18"/>
                <w:szCs w:val="18"/>
              </w:rPr>
            </w:pPr>
            <w:r>
              <w:rPr>
                <w:b/>
                <w:bCs/>
                <w:sz w:val="18"/>
                <w:szCs w:val="18"/>
              </w:rPr>
              <w:t>Description</w:t>
            </w:r>
          </w:p>
        </w:tc>
      </w:tr>
      <w:tr w:rsidR="00D11088" w14:paraId="2FA4ADB7" w14:textId="77777777" w:rsidTr="00C1082F">
        <w:trPr>
          <w:tblHeader/>
        </w:trPr>
        <w:tc>
          <w:tcPr>
            <w:tcW w:w="1368" w:type="dxa"/>
          </w:tcPr>
          <w:p w14:paraId="16B4FE81" w14:textId="77777777" w:rsidR="00D11088" w:rsidRDefault="00D11088" w:rsidP="00EB28E7">
            <w:pPr>
              <w:spacing w:before="120" w:after="120"/>
              <w:jc w:val="center"/>
              <w:rPr>
                <w:sz w:val="18"/>
                <w:szCs w:val="18"/>
              </w:rPr>
            </w:pPr>
            <w:r>
              <w:rPr>
                <w:sz w:val="18"/>
                <w:szCs w:val="18"/>
              </w:rPr>
              <w:t>AA-000</w:t>
            </w:r>
          </w:p>
        </w:tc>
        <w:tc>
          <w:tcPr>
            <w:tcW w:w="8280" w:type="dxa"/>
          </w:tcPr>
          <w:p w14:paraId="389462F2" w14:textId="77777777" w:rsidR="00D11088" w:rsidRDefault="00D11088" w:rsidP="00EB28E7">
            <w:pPr>
              <w:spacing w:before="120" w:after="120"/>
              <w:rPr>
                <w:sz w:val="18"/>
                <w:szCs w:val="18"/>
              </w:rPr>
            </w:pPr>
            <w:r w:rsidRPr="009E2D23">
              <w:rPr>
                <w:sz w:val="18"/>
                <w:szCs w:val="18"/>
              </w:rPr>
              <w:t>Tinsley Crude Oil Gathering Facility, including two (2) Storage Tanks, Truck Unloading (LACT) Unit, and</w:t>
            </w:r>
            <w:r>
              <w:rPr>
                <w:sz w:val="18"/>
                <w:szCs w:val="18"/>
              </w:rPr>
              <w:t xml:space="preserve"> </w:t>
            </w:r>
            <w:r w:rsidRPr="009E2D23">
              <w:rPr>
                <w:sz w:val="18"/>
                <w:szCs w:val="18"/>
              </w:rPr>
              <w:t>Pipeline to Mayersville, MS</w:t>
            </w:r>
          </w:p>
        </w:tc>
      </w:tr>
      <w:tr w:rsidR="00D11088" w14:paraId="3A149F33" w14:textId="77777777" w:rsidTr="00C1082F">
        <w:trPr>
          <w:tblHeader/>
        </w:trPr>
        <w:tc>
          <w:tcPr>
            <w:tcW w:w="1368" w:type="dxa"/>
          </w:tcPr>
          <w:p w14:paraId="5BA90A1D" w14:textId="77777777" w:rsidR="00D11088" w:rsidRDefault="00D11088" w:rsidP="00EB28E7">
            <w:pPr>
              <w:spacing w:before="120" w:after="120"/>
              <w:jc w:val="center"/>
              <w:rPr>
                <w:sz w:val="18"/>
                <w:szCs w:val="18"/>
              </w:rPr>
            </w:pPr>
            <w:r>
              <w:rPr>
                <w:sz w:val="18"/>
                <w:szCs w:val="18"/>
              </w:rPr>
              <w:t>AA-001</w:t>
            </w:r>
          </w:p>
        </w:tc>
        <w:tc>
          <w:tcPr>
            <w:tcW w:w="8280" w:type="dxa"/>
          </w:tcPr>
          <w:p w14:paraId="7EF5E30E" w14:textId="4B72A161" w:rsidR="00D11088" w:rsidRDefault="00D11088" w:rsidP="00EB28E7">
            <w:pPr>
              <w:spacing w:before="120" w:after="120"/>
              <w:rPr>
                <w:sz w:val="18"/>
                <w:szCs w:val="18"/>
              </w:rPr>
            </w:pPr>
            <w:r w:rsidRPr="009E2D23">
              <w:rPr>
                <w:sz w:val="18"/>
                <w:szCs w:val="18"/>
              </w:rPr>
              <w:t>3,</w:t>
            </w:r>
            <w:r w:rsidR="009C373E">
              <w:rPr>
                <w:sz w:val="18"/>
                <w:szCs w:val="18"/>
              </w:rPr>
              <w:t>468,</w:t>
            </w:r>
            <w:r w:rsidR="00617F86">
              <w:rPr>
                <w:sz w:val="18"/>
                <w:szCs w:val="18"/>
              </w:rPr>
              <w:t>700</w:t>
            </w:r>
            <w:r w:rsidR="00617F86" w:rsidRPr="009E2D23">
              <w:rPr>
                <w:sz w:val="18"/>
                <w:szCs w:val="18"/>
              </w:rPr>
              <w:t xml:space="preserve"> </w:t>
            </w:r>
            <w:r w:rsidRPr="009E2D23">
              <w:rPr>
                <w:sz w:val="18"/>
                <w:szCs w:val="18"/>
              </w:rPr>
              <w:t>Gallon (80,000 Barrel (bbl)) Above Ground Fixed Roof Steel Storage Tank for Crude Oil Vented to</w:t>
            </w:r>
            <w:r>
              <w:rPr>
                <w:sz w:val="18"/>
                <w:szCs w:val="18"/>
              </w:rPr>
              <w:t xml:space="preserve"> </w:t>
            </w:r>
            <w:r w:rsidRPr="009E2D23">
              <w:rPr>
                <w:sz w:val="18"/>
                <w:szCs w:val="18"/>
              </w:rPr>
              <w:t>the Atmosphere</w:t>
            </w:r>
          </w:p>
        </w:tc>
      </w:tr>
      <w:tr w:rsidR="00D11088" w14:paraId="5B2B092D" w14:textId="77777777" w:rsidTr="00C1082F">
        <w:trPr>
          <w:tblHeader/>
        </w:trPr>
        <w:tc>
          <w:tcPr>
            <w:tcW w:w="1368" w:type="dxa"/>
          </w:tcPr>
          <w:p w14:paraId="442C3EF8" w14:textId="77777777" w:rsidR="00D11088" w:rsidRDefault="00D11088" w:rsidP="00EB28E7">
            <w:pPr>
              <w:spacing w:before="120" w:after="120"/>
              <w:jc w:val="center"/>
              <w:rPr>
                <w:sz w:val="18"/>
                <w:szCs w:val="18"/>
              </w:rPr>
            </w:pPr>
            <w:r>
              <w:rPr>
                <w:sz w:val="18"/>
                <w:szCs w:val="18"/>
              </w:rPr>
              <w:t>AA-002</w:t>
            </w:r>
          </w:p>
        </w:tc>
        <w:tc>
          <w:tcPr>
            <w:tcW w:w="8280" w:type="dxa"/>
          </w:tcPr>
          <w:p w14:paraId="707888F5" w14:textId="76451C8E" w:rsidR="00D11088" w:rsidRDefault="00590B28" w:rsidP="00EB28E7">
            <w:pPr>
              <w:spacing w:before="120" w:after="120"/>
              <w:rPr>
                <w:sz w:val="18"/>
                <w:szCs w:val="18"/>
              </w:rPr>
            </w:pPr>
            <w:r>
              <w:rPr>
                <w:sz w:val="18"/>
                <w:szCs w:val="18"/>
              </w:rPr>
              <w:t>416,402</w:t>
            </w:r>
            <w:r w:rsidR="00D11088" w:rsidRPr="009E2D23">
              <w:rPr>
                <w:sz w:val="18"/>
                <w:szCs w:val="18"/>
              </w:rPr>
              <w:t xml:space="preserve"> Gallon (10,000 bbl) Above Ground Floating Roof Steel Storage Tank for Crude Oil Vented to the</w:t>
            </w:r>
            <w:r w:rsidR="00D11088">
              <w:rPr>
                <w:sz w:val="18"/>
                <w:szCs w:val="18"/>
              </w:rPr>
              <w:t xml:space="preserve"> </w:t>
            </w:r>
            <w:r w:rsidR="00D11088" w:rsidRPr="009E2D23">
              <w:rPr>
                <w:sz w:val="18"/>
                <w:szCs w:val="18"/>
              </w:rPr>
              <w:t>Atmosphere</w:t>
            </w:r>
          </w:p>
        </w:tc>
      </w:tr>
      <w:tr w:rsidR="00D11088" w14:paraId="27B78DEA" w14:textId="77777777" w:rsidTr="00C1082F">
        <w:trPr>
          <w:tblHeader/>
        </w:trPr>
        <w:tc>
          <w:tcPr>
            <w:tcW w:w="1368" w:type="dxa"/>
          </w:tcPr>
          <w:p w14:paraId="1D0BEC06" w14:textId="77777777" w:rsidR="00D11088" w:rsidRDefault="00D11088" w:rsidP="00EB28E7">
            <w:pPr>
              <w:spacing w:before="120" w:after="120"/>
              <w:jc w:val="center"/>
              <w:rPr>
                <w:sz w:val="18"/>
                <w:szCs w:val="18"/>
              </w:rPr>
            </w:pPr>
            <w:r>
              <w:rPr>
                <w:sz w:val="18"/>
                <w:szCs w:val="18"/>
              </w:rPr>
              <w:t>AA-003</w:t>
            </w:r>
          </w:p>
        </w:tc>
        <w:tc>
          <w:tcPr>
            <w:tcW w:w="8280" w:type="dxa"/>
          </w:tcPr>
          <w:p w14:paraId="6D6A7280" w14:textId="77777777" w:rsidR="00D11088" w:rsidRDefault="00D11088" w:rsidP="00EB28E7">
            <w:pPr>
              <w:spacing w:before="120" w:after="120"/>
              <w:rPr>
                <w:sz w:val="18"/>
                <w:szCs w:val="18"/>
              </w:rPr>
            </w:pPr>
            <w:r w:rsidRPr="009E2D23">
              <w:rPr>
                <w:sz w:val="18"/>
                <w:szCs w:val="18"/>
              </w:rPr>
              <w:t>Fugitive emissions from tank truck offloading. Crude oil can be offloaded at one (1) Lease Automatic Custody</w:t>
            </w:r>
            <w:r>
              <w:rPr>
                <w:sz w:val="18"/>
                <w:szCs w:val="18"/>
              </w:rPr>
              <w:t xml:space="preserve"> </w:t>
            </w:r>
            <w:r w:rsidRPr="009E2D23">
              <w:rPr>
                <w:sz w:val="18"/>
                <w:szCs w:val="18"/>
              </w:rPr>
              <w:t>Transfer (LACT) unit, which measure the net volume of liquid hydrocarbons</w:t>
            </w:r>
          </w:p>
        </w:tc>
      </w:tr>
      <w:tr w:rsidR="00D11088" w14:paraId="6BC523CE" w14:textId="77777777" w:rsidTr="00C1082F">
        <w:trPr>
          <w:tblHeader/>
        </w:trPr>
        <w:tc>
          <w:tcPr>
            <w:tcW w:w="1368" w:type="dxa"/>
          </w:tcPr>
          <w:p w14:paraId="47CC15C3" w14:textId="77777777" w:rsidR="00D11088" w:rsidRDefault="00D11088" w:rsidP="00EB28E7">
            <w:pPr>
              <w:spacing w:before="120" w:after="120"/>
              <w:jc w:val="center"/>
              <w:rPr>
                <w:sz w:val="18"/>
                <w:szCs w:val="18"/>
              </w:rPr>
            </w:pPr>
            <w:r>
              <w:rPr>
                <w:sz w:val="18"/>
                <w:szCs w:val="18"/>
              </w:rPr>
              <w:t>AA-004</w:t>
            </w:r>
          </w:p>
        </w:tc>
        <w:tc>
          <w:tcPr>
            <w:tcW w:w="8280" w:type="dxa"/>
          </w:tcPr>
          <w:p w14:paraId="7B6BA5D0" w14:textId="77777777" w:rsidR="00D11088" w:rsidRDefault="00D11088" w:rsidP="00EB28E7">
            <w:pPr>
              <w:spacing w:before="120" w:after="120"/>
              <w:rPr>
                <w:sz w:val="18"/>
                <w:szCs w:val="18"/>
              </w:rPr>
            </w:pPr>
            <w:r w:rsidRPr="009E2D23">
              <w:rPr>
                <w:sz w:val="18"/>
                <w:szCs w:val="18"/>
              </w:rPr>
              <w:t>Fugitive emissions from facility equipment leaks (valves, connectors, flanges, etc.)</w:t>
            </w:r>
          </w:p>
        </w:tc>
      </w:tr>
    </w:tbl>
    <w:p w14:paraId="585734EA" w14:textId="3FF4CD19" w:rsidR="00AC2A09" w:rsidRDefault="00AC2A09">
      <w:pPr>
        <w:widowControl/>
        <w:autoSpaceDE/>
        <w:autoSpaceDN/>
        <w:spacing w:after="200" w:line="276" w:lineRule="auto"/>
        <w:rPr>
          <w:b/>
          <w:bCs/>
          <w:u w:val="single"/>
        </w:rPr>
      </w:pPr>
    </w:p>
    <w:p w14:paraId="23C4962A" w14:textId="6E629E13" w:rsidR="001D7E96" w:rsidRDefault="001D7E96" w:rsidP="001D7E96">
      <w:pPr>
        <w:pStyle w:val="Title"/>
        <w:jc w:val="both"/>
        <w:rPr>
          <w:u w:val="single"/>
        </w:rPr>
      </w:pPr>
      <w:r>
        <w:rPr>
          <w:u w:val="single"/>
        </w:rPr>
        <w:lastRenderedPageBreak/>
        <w:t>PROJECT/PERMIT ACTION DESCRIPTION</w:t>
      </w:r>
    </w:p>
    <w:p w14:paraId="47C17CCF" w14:textId="77777777" w:rsidR="001D7E96" w:rsidRDefault="001D7E96" w:rsidP="001D7E96">
      <w:pPr>
        <w:pStyle w:val="Title"/>
        <w:jc w:val="both"/>
        <w:rPr>
          <w:u w:val="single"/>
        </w:rPr>
      </w:pPr>
    </w:p>
    <w:p w14:paraId="52A54336" w14:textId="77777777" w:rsidR="00455886" w:rsidRDefault="00B6285D" w:rsidP="00B6285D">
      <w:pPr>
        <w:pStyle w:val="Title"/>
        <w:spacing w:after="120"/>
        <w:jc w:val="both"/>
        <w:rPr>
          <w:b w:val="0"/>
          <w:bCs w:val="0"/>
        </w:rPr>
      </w:pPr>
      <w:r>
        <w:rPr>
          <w:b w:val="0"/>
          <w:bCs w:val="0"/>
        </w:rPr>
        <w:t xml:space="preserve">Tinsley Resources LLC is an existing Air Synthetic Minor Facility who has applied to renew their Air Synthetic Minor Operating Permit (SMOP). Tinsley has the capacity to process as much as 13,500 barrels per day of crude oil causing potential emissions of VOCs to exceed 100 tpy. </w:t>
      </w:r>
    </w:p>
    <w:p w14:paraId="1C9C3178" w14:textId="60516C88" w:rsidR="00B6285D" w:rsidRDefault="00B6285D" w:rsidP="00B6285D">
      <w:pPr>
        <w:pStyle w:val="Title"/>
        <w:spacing w:after="120"/>
        <w:jc w:val="both"/>
        <w:rPr>
          <w:b w:val="0"/>
          <w:bCs w:val="0"/>
        </w:rPr>
      </w:pPr>
      <w:r>
        <w:rPr>
          <w:b w:val="0"/>
          <w:bCs w:val="0"/>
        </w:rPr>
        <w:t xml:space="preserve">However, Tinsley Resources has a federally enforceable annual throughput limit </w:t>
      </w:r>
      <w:r w:rsidR="00087DEA" w:rsidRPr="00795AFF">
        <w:rPr>
          <w:b w:val="0"/>
          <w:bCs w:val="0"/>
        </w:rPr>
        <w:t>of 1,533,000 bbl/yr of crude oil</w:t>
      </w:r>
      <w:r w:rsidR="00087DEA">
        <w:rPr>
          <w:b w:val="0"/>
          <w:bCs w:val="0"/>
        </w:rPr>
        <w:t xml:space="preserve"> </w:t>
      </w:r>
      <w:r w:rsidRPr="00795AFF">
        <w:rPr>
          <w:b w:val="0"/>
          <w:bCs w:val="0"/>
        </w:rPr>
        <w:t xml:space="preserve"> </w:t>
      </w:r>
      <w:r>
        <w:rPr>
          <w:b w:val="0"/>
          <w:bCs w:val="0"/>
        </w:rPr>
        <w:t>for the fixed roof storage tank</w:t>
      </w:r>
      <w:r w:rsidRPr="00795AFF">
        <w:rPr>
          <w:b w:val="0"/>
          <w:bCs w:val="0"/>
        </w:rPr>
        <w:t xml:space="preserve"> </w:t>
      </w:r>
      <w:r>
        <w:rPr>
          <w:b w:val="0"/>
          <w:bCs w:val="0"/>
        </w:rPr>
        <w:t>(</w:t>
      </w:r>
      <w:r w:rsidRPr="00795AFF">
        <w:rPr>
          <w:b w:val="0"/>
          <w:bCs w:val="0"/>
        </w:rPr>
        <w:t>Emission Point AA-001</w:t>
      </w:r>
      <w:r>
        <w:rPr>
          <w:b w:val="0"/>
          <w:bCs w:val="0"/>
        </w:rPr>
        <w:t>)</w:t>
      </w:r>
      <w:r w:rsidRPr="00795AFF">
        <w:rPr>
          <w:b w:val="0"/>
          <w:bCs w:val="0"/>
        </w:rPr>
        <w:t xml:space="preserve"> </w:t>
      </w:r>
      <w:r w:rsidR="002F47BB">
        <w:rPr>
          <w:b w:val="0"/>
          <w:bCs w:val="0"/>
        </w:rPr>
        <w:t xml:space="preserve">and 1,022,000 barrels per year </w:t>
      </w:r>
      <w:r w:rsidR="00087DEA">
        <w:rPr>
          <w:b w:val="0"/>
          <w:bCs w:val="0"/>
        </w:rPr>
        <w:t xml:space="preserve">of crude oil </w:t>
      </w:r>
      <w:r w:rsidR="002F47BB">
        <w:rPr>
          <w:b w:val="0"/>
          <w:bCs w:val="0"/>
        </w:rPr>
        <w:t>for the floating roof tank (Emission Point AA-002)</w:t>
      </w:r>
      <w:r w:rsidRPr="00795AFF">
        <w:rPr>
          <w:b w:val="0"/>
          <w:bCs w:val="0"/>
        </w:rPr>
        <w:t>. Storage of crude oil containing hydrogen sulfide is restricted to the storage tank equipped with a floating roof (Emission Point AA-002).</w:t>
      </w:r>
    </w:p>
    <w:p w14:paraId="28FDC542" w14:textId="1FBAF194" w:rsidR="00C1082F" w:rsidRDefault="00CD1F95" w:rsidP="001D7E96">
      <w:pPr>
        <w:pStyle w:val="Title"/>
        <w:jc w:val="both"/>
        <w:rPr>
          <w:b w:val="0"/>
        </w:rPr>
      </w:pPr>
      <w:r>
        <w:rPr>
          <w:b w:val="0"/>
          <w:bCs w:val="0"/>
        </w:rPr>
        <w:t>The facility is seeking a renewal of their Air Synthetic Minor Operating Permit.</w:t>
      </w:r>
    </w:p>
    <w:p w14:paraId="3060B260" w14:textId="77777777" w:rsidR="001D7E96" w:rsidRDefault="001D7E96" w:rsidP="001D7E96">
      <w:pPr>
        <w:pStyle w:val="Title"/>
        <w:jc w:val="left"/>
        <w:rPr>
          <w:b w:val="0"/>
          <w:bCs w:val="0"/>
        </w:rPr>
      </w:pPr>
    </w:p>
    <w:p w14:paraId="08A7DB7A" w14:textId="77777777" w:rsidR="001D7E96" w:rsidRDefault="001D7E96" w:rsidP="001D7E96">
      <w:pPr>
        <w:pStyle w:val="Title"/>
        <w:jc w:val="both"/>
        <w:rPr>
          <w:u w:val="single"/>
        </w:rPr>
      </w:pPr>
      <w:r>
        <w:rPr>
          <w:u w:val="single"/>
        </w:rPr>
        <w:t>EMISSION SUMMARY</w:t>
      </w:r>
    </w:p>
    <w:p w14:paraId="2A9B9F8E" w14:textId="77777777" w:rsidR="001D7E96" w:rsidRDefault="001D7E96" w:rsidP="001D7E96">
      <w:pPr>
        <w:pStyle w:val="Title"/>
        <w:jc w:val="both"/>
        <w:rPr>
          <w:u w:val="single"/>
        </w:rPr>
      </w:pPr>
    </w:p>
    <w:p w14:paraId="2F44C1F6" w14:textId="73D597DB" w:rsidR="001D7E96" w:rsidRDefault="00514DB9" w:rsidP="001D7E96">
      <w:pPr>
        <w:pStyle w:val="Title"/>
        <w:jc w:val="both"/>
        <w:rPr>
          <w:b w:val="0"/>
          <w:bCs w:val="0"/>
        </w:rPr>
      </w:pPr>
      <w:r>
        <w:rPr>
          <w:b w:val="0"/>
          <w:bCs w:val="0"/>
        </w:rPr>
        <w:t>The facility does not request any additional modifications along with the renewal of their operating permit. As such, t</w:t>
      </w:r>
      <w:r w:rsidR="0069638F">
        <w:rPr>
          <w:b w:val="0"/>
          <w:bCs w:val="0"/>
        </w:rPr>
        <w:t>here are no increases or decreases in the facility’s emissions</w:t>
      </w:r>
      <w:r>
        <w:rPr>
          <w:b w:val="0"/>
          <w:bCs w:val="0"/>
        </w:rPr>
        <w:t xml:space="preserve"> due to this permitting action</w:t>
      </w:r>
      <w:r w:rsidR="0069638F">
        <w:rPr>
          <w:b w:val="0"/>
          <w:bCs w:val="0"/>
        </w:rPr>
        <w:t>.</w:t>
      </w:r>
    </w:p>
    <w:p w14:paraId="7BD1B6C2" w14:textId="77777777" w:rsidR="001D7E96" w:rsidRDefault="001D7E96" w:rsidP="001D7E96">
      <w:pPr>
        <w:pStyle w:val="Title"/>
        <w:jc w:val="left"/>
        <w:rPr>
          <w:b w:val="0"/>
          <w:bCs w:val="0"/>
        </w:rPr>
      </w:pPr>
    </w:p>
    <w:tbl>
      <w:tblPr>
        <w:tblStyle w:val="TableGrid"/>
        <w:tblW w:w="0" w:type="auto"/>
        <w:jc w:val="center"/>
        <w:tblInd w:w="0" w:type="dxa"/>
        <w:tblLook w:val="04A0" w:firstRow="1" w:lastRow="0" w:firstColumn="1" w:lastColumn="0" w:noHBand="0" w:noVBand="1"/>
      </w:tblPr>
      <w:tblGrid>
        <w:gridCol w:w="1998"/>
        <w:gridCol w:w="1800"/>
      </w:tblGrid>
      <w:tr w:rsidR="00D30954" w14:paraId="5D277549" w14:textId="77777777" w:rsidTr="001A4486">
        <w:trPr>
          <w:jc w:val="center"/>
        </w:trPr>
        <w:tc>
          <w:tcPr>
            <w:tcW w:w="1998" w:type="dxa"/>
            <w:vAlign w:val="center"/>
          </w:tcPr>
          <w:p w14:paraId="161C861E" w14:textId="77777777" w:rsidR="00D30954" w:rsidRPr="00593095" w:rsidRDefault="00D30954" w:rsidP="00D30954">
            <w:pPr>
              <w:pStyle w:val="Title"/>
            </w:pPr>
            <w:r w:rsidRPr="00593095">
              <w:t>Pollutant</w:t>
            </w:r>
          </w:p>
        </w:tc>
        <w:tc>
          <w:tcPr>
            <w:tcW w:w="1800" w:type="dxa"/>
            <w:vAlign w:val="center"/>
          </w:tcPr>
          <w:p w14:paraId="5F51F01C" w14:textId="4097A635" w:rsidR="00D30954" w:rsidRPr="00593095" w:rsidRDefault="00D30954" w:rsidP="00D30954">
            <w:pPr>
              <w:pStyle w:val="Title"/>
            </w:pPr>
            <w:r>
              <w:t>Facility wide PTE, tons/yr</w:t>
            </w:r>
            <w:r w:rsidRPr="001A4486">
              <w:rPr>
                <w:vertAlign w:val="superscript"/>
              </w:rPr>
              <w:t>1</w:t>
            </w:r>
          </w:p>
        </w:tc>
      </w:tr>
      <w:tr w:rsidR="00D30954" w14:paraId="0A05920F" w14:textId="77777777" w:rsidTr="001A4486">
        <w:trPr>
          <w:jc w:val="center"/>
        </w:trPr>
        <w:tc>
          <w:tcPr>
            <w:tcW w:w="1998" w:type="dxa"/>
            <w:vAlign w:val="center"/>
          </w:tcPr>
          <w:p w14:paraId="4DCB680E" w14:textId="77777777" w:rsidR="00D30954" w:rsidRDefault="00D30954" w:rsidP="00D30954">
            <w:pPr>
              <w:pStyle w:val="Title"/>
              <w:rPr>
                <w:b w:val="0"/>
                <w:bCs w:val="0"/>
              </w:rPr>
            </w:pPr>
            <w:r>
              <w:rPr>
                <w:b w:val="0"/>
                <w:bCs w:val="0"/>
              </w:rPr>
              <w:t>VOC</w:t>
            </w:r>
          </w:p>
        </w:tc>
        <w:tc>
          <w:tcPr>
            <w:tcW w:w="1800" w:type="dxa"/>
            <w:vAlign w:val="center"/>
          </w:tcPr>
          <w:p w14:paraId="0F63C891" w14:textId="3235F805" w:rsidR="00D30954" w:rsidRDefault="00D30954" w:rsidP="00D30954">
            <w:pPr>
              <w:pStyle w:val="Title"/>
              <w:rPr>
                <w:b w:val="0"/>
                <w:bCs w:val="0"/>
              </w:rPr>
            </w:pPr>
            <w:r>
              <w:rPr>
                <w:b w:val="0"/>
                <w:bCs w:val="0"/>
              </w:rPr>
              <w:t>70.3</w:t>
            </w:r>
          </w:p>
        </w:tc>
      </w:tr>
      <w:tr w:rsidR="00D30954" w14:paraId="5EFB00AE" w14:textId="77777777" w:rsidTr="001A4486">
        <w:trPr>
          <w:jc w:val="center"/>
        </w:trPr>
        <w:tc>
          <w:tcPr>
            <w:tcW w:w="1998" w:type="dxa"/>
            <w:vAlign w:val="center"/>
          </w:tcPr>
          <w:p w14:paraId="12C10F23" w14:textId="77777777" w:rsidR="00D30954" w:rsidRDefault="00D30954" w:rsidP="00D30954">
            <w:pPr>
              <w:pStyle w:val="Title"/>
              <w:rPr>
                <w:b w:val="0"/>
                <w:bCs w:val="0"/>
              </w:rPr>
            </w:pPr>
            <w:r>
              <w:rPr>
                <w:b w:val="0"/>
                <w:bCs w:val="0"/>
              </w:rPr>
              <w:t>NO</w:t>
            </w:r>
            <w:r w:rsidRPr="00593095">
              <w:rPr>
                <w:b w:val="0"/>
                <w:bCs w:val="0"/>
                <w:vertAlign w:val="subscript"/>
              </w:rPr>
              <w:t>X</w:t>
            </w:r>
          </w:p>
        </w:tc>
        <w:tc>
          <w:tcPr>
            <w:tcW w:w="1800" w:type="dxa"/>
            <w:vAlign w:val="center"/>
          </w:tcPr>
          <w:p w14:paraId="136E7957" w14:textId="4749FE4A" w:rsidR="00D30954" w:rsidRDefault="00D30954" w:rsidP="00D30954">
            <w:pPr>
              <w:pStyle w:val="Title"/>
              <w:rPr>
                <w:b w:val="0"/>
                <w:bCs w:val="0"/>
              </w:rPr>
            </w:pPr>
            <w:r>
              <w:rPr>
                <w:b w:val="0"/>
                <w:bCs w:val="0"/>
              </w:rPr>
              <w:t>0</w:t>
            </w:r>
          </w:p>
        </w:tc>
      </w:tr>
      <w:tr w:rsidR="00D30954" w14:paraId="599C9EFA" w14:textId="77777777" w:rsidTr="001A4486">
        <w:trPr>
          <w:jc w:val="center"/>
        </w:trPr>
        <w:tc>
          <w:tcPr>
            <w:tcW w:w="1998" w:type="dxa"/>
            <w:vAlign w:val="center"/>
          </w:tcPr>
          <w:p w14:paraId="5E560750" w14:textId="77777777" w:rsidR="00D30954" w:rsidRDefault="00D30954" w:rsidP="00D30954">
            <w:pPr>
              <w:pStyle w:val="Title"/>
              <w:rPr>
                <w:b w:val="0"/>
                <w:bCs w:val="0"/>
              </w:rPr>
            </w:pPr>
            <w:r>
              <w:rPr>
                <w:b w:val="0"/>
                <w:bCs w:val="0"/>
              </w:rPr>
              <w:t>CO</w:t>
            </w:r>
          </w:p>
        </w:tc>
        <w:tc>
          <w:tcPr>
            <w:tcW w:w="1800" w:type="dxa"/>
            <w:vAlign w:val="center"/>
          </w:tcPr>
          <w:p w14:paraId="25636008" w14:textId="4A8FEEED" w:rsidR="00D30954" w:rsidRDefault="00D30954" w:rsidP="00D30954">
            <w:pPr>
              <w:pStyle w:val="Title"/>
              <w:rPr>
                <w:b w:val="0"/>
                <w:bCs w:val="0"/>
              </w:rPr>
            </w:pPr>
            <w:r>
              <w:rPr>
                <w:b w:val="0"/>
                <w:bCs w:val="0"/>
              </w:rPr>
              <w:t>0</w:t>
            </w:r>
          </w:p>
        </w:tc>
      </w:tr>
      <w:tr w:rsidR="00D30954" w14:paraId="7E0F83F0" w14:textId="77777777" w:rsidTr="001A4486">
        <w:trPr>
          <w:jc w:val="center"/>
        </w:trPr>
        <w:tc>
          <w:tcPr>
            <w:tcW w:w="1998" w:type="dxa"/>
            <w:vAlign w:val="center"/>
          </w:tcPr>
          <w:p w14:paraId="688BC80A" w14:textId="77777777" w:rsidR="00D30954" w:rsidRDefault="00D30954" w:rsidP="00D30954">
            <w:pPr>
              <w:pStyle w:val="Title"/>
              <w:rPr>
                <w:b w:val="0"/>
                <w:bCs w:val="0"/>
              </w:rPr>
            </w:pPr>
            <w:r>
              <w:rPr>
                <w:b w:val="0"/>
                <w:bCs w:val="0"/>
              </w:rPr>
              <w:t>PM</w:t>
            </w:r>
            <w:r w:rsidRPr="00FA4CB8">
              <w:rPr>
                <w:b w:val="0"/>
                <w:bCs w:val="0"/>
                <w:vertAlign w:val="subscript"/>
              </w:rPr>
              <w:t>10</w:t>
            </w:r>
          </w:p>
        </w:tc>
        <w:tc>
          <w:tcPr>
            <w:tcW w:w="1800" w:type="dxa"/>
            <w:vAlign w:val="center"/>
          </w:tcPr>
          <w:p w14:paraId="55862510" w14:textId="70DBE18D" w:rsidR="00D30954" w:rsidRDefault="00D30954" w:rsidP="00D30954">
            <w:pPr>
              <w:pStyle w:val="Title"/>
              <w:rPr>
                <w:b w:val="0"/>
                <w:bCs w:val="0"/>
              </w:rPr>
            </w:pPr>
            <w:r>
              <w:rPr>
                <w:b w:val="0"/>
                <w:bCs w:val="0"/>
              </w:rPr>
              <w:t>0</w:t>
            </w:r>
          </w:p>
        </w:tc>
      </w:tr>
      <w:tr w:rsidR="00D30954" w14:paraId="64BF7078" w14:textId="77777777" w:rsidTr="001A4486">
        <w:trPr>
          <w:jc w:val="center"/>
        </w:trPr>
        <w:tc>
          <w:tcPr>
            <w:tcW w:w="1998" w:type="dxa"/>
            <w:vAlign w:val="center"/>
          </w:tcPr>
          <w:p w14:paraId="34459B47" w14:textId="77777777" w:rsidR="00D30954" w:rsidRDefault="00D30954" w:rsidP="00D30954">
            <w:pPr>
              <w:pStyle w:val="Title"/>
              <w:rPr>
                <w:b w:val="0"/>
                <w:bCs w:val="0"/>
              </w:rPr>
            </w:pPr>
            <w:r>
              <w:rPr>
                <w:b w:val="0"/>
                <w:bCs w:val="0"/>
              </w:rPr>
              <w:t>PM</w:t>
            </w:r>
            <w:r w:rsidRPr="00FA4CB8">
              <w:rPr>
                <w:b w:val="0"/>
                <w:bCs w:val="0"/>
                <w:vertAlign w:val="subscript"/>
              </w:rPr>
              <w:t>2.5</w:t>
            </w:r>
          </w:p>
        </w:tc>
        <w:tc>
          <w:tcPr>
            <w:tcW w:w="1800" w:type="dxa"/>
            <w:vAlign w:val="center"/>
          </w:tcPr>
          <w:p w14:paraId="6D62CDD4" w14:textId="5222BA7C" w:rsidR="00D30954" w:rsidRDefault="00D30954" w:rsidP="00D30954">
            <w:pPr>
              <w:pStyle w:val="Title"/>
              <w:rPr>
                <w:b w:val="0"/>
                <w:bCs w:val="0"/>
              </w:rPr>
            </w:pPr>
            <w:r>
              <w:rPr>
                <w:b w:val="0"/>
                <w:bCs w:val="0"/>
              </w:rPr>
              <w:t>0</w:t>
            </w:r>
          </w:p>
        </w:tc>
      </w:tr>
      <w:tr w:rsidR="00D30954" w14:paraId="05E551B6" w14:textId="77777777" w:rsidTr="001A4486">
        <w:trPr>
          <w:jc w:val="center"/>
        </w:trPr>
        <w:tc>
          <w:tcPr>
            <w:tcW w:w="1998" w:type="dxa"/>
            <w:vAlign w:val="center"/>
          </w:tcPr>
          <w:p w14:paraId="1F4A8DC1" w14:textId="77777777" w:rsidR="00D30954" w:rsidRDefault="00D30954" w:rsidP="00D30954">
            <w:pPr>
              <w:pStyle w:val="Title"/>
              <w:rPr>
                <w:b w:val="0"/>
                <w:bCs w:val="0"/>
              </w:rPr>
            </w:pPr>
            <w:r>
              <w:rPr>
                <w:b w:val="0"/>
                <w:bCs w:val="0"/>
              </w:rPr>
              <w:t>SO</w:t>
            </w:r>
            <w:r w:rsidRPr="00593095">
              <w:rPr>
                <w:b w:val="0"/>
                <w:bCs w:val="0"/>
                <w:vertAlign w:val="subscript"/>
              </w:rPr>
              <w:t>2</w:t>
            </w:r>
          </w:p>
        </w:tc>
        <w:tc>
          <w:tcPr>
            <w:tcW w:w="1800" w:type="dxa"/>
            <w:vAlign w:val="center"/>
          </w:tcPr>
          <w:p w14:paraId="0A2CEDA6" w14:textId="64D220B9" w:rsidR="00D30954" w:rsidRDefault="00D30954" w:rsidP="00D30954">
            <w:pPr>
              <w:pStyle w:val="Title"/>
              <w:rPr>
                <w:b w:val="0"/>
                <w:bCs w:val="0"/>
              </w:rPr>
            </w:pPr>
            <w:r>
              <w:rPr>
                <w:b w:val="0"/>
                <w:bCs w:val="0"/>
              </w:rPr>
              <w:t>0</w:t>
            </w:r>
          </w:p>
        </w:tc>
      </w:tr>
      <w:tr w:rsidR="00D30954" w14:paraId="0F422665" w14:textId="77777777" w:rsidTr="001A4486">
        <w:trPr>
          <w:jc w:val="center"/>
        </w:trPr>
        <w:tc>
          <w:tcPr>
            <w:tcW w:w="1998" w:type="dxa"/>
            <w:vAlign w:val="center"/>
          </w:tcPr>
          <w:p w14:paraId="497C77AD" w14:textId="77777777" w:rsidR="00D30954" w:rsidRDefault="00D30954" w:rsidP="00D30954">
            <w:pPr>
              <w:pStyle w:val="Title"/>
              <w:rPr>
                <w:b w:val="0"/>
                <w:bCs w:val="0"/>
              </w:rPr>
            </w:pPr>
            <w:r>
              <w:rPr>
                <w:b w:val="0"/>
                <w:bCs w:val="0"/>
              </w:rPr>
              <w:t>HAPs</w:t>
            </w:r>
          </w:p>
        </w:tc>
        <w:tc>
          <w:tcPr>
            <w:tcW w:w="1800" w:type="dxa"/>
            <w:vAlign w:val="center"/>
          </w:tcPr>
          <w:p w14:paraId="47080967" w14:textId="042619D3" w:rsidR="00D30954" w:rsidRDefault="00D30954" w:rsidP="00D30954">
            <w:pPr>
              <w:pStyle w:val="Title"/>
              <w:rPr>
                <w:b w:val="0"/>
                <w:bCs w:val="0"/>
              </w:rPr>
            </w:pPr>
            <w:r>
              <w:rPr>
                <w:b w:val="0"/>
                <w:bCs w:val="0"/>
              </w:rPr>
              <w:t>4.29</w:t>
            </w:r>
          </w:p>
        </w:tc>
      </w:tr>
    </w:tbl>
    <w:p w14:paraId="0C0BD2A1" w14:textId="68715FB2" w:rsidR="00003EBA" w:rsidRPr="001A4486" w:rsidRDefault="007E128C" w:rsidP="001A4486">
      <w:pPr>
        <w:pStyle w:val="Title"/>
        <w:rPr>
          <w:b w:val="0"/>
          <w:bCs w:val="0"/>
          <w:sz w:val="18"/>
          <w:szCs w:val="18"/>
        </w:rPr>
      </w:pPr>
      <w:r w:rsidRPr="001A4486">
        <w:rPr>
          <w:b w:val="0"/>
          <w:bCs w:val="0"/>
          <w:sz w:val="18"/>
          <w:szCs w:val="18"/>
        </w:rPr>
        <w:t>1 PTE is based on 7,000 barrels per day</w:t>
      </w:r>
      <w:r w:rsidR="00C77954">
        <w:rPr>
          <w:b w:val="0"/>
          <w:bCs w:val="0"/>
          <w:sz w:val="18"/>
          <w:szCs w:val="18"/>
        </w:rPr>
        <w:t>, the predicted actual throughput</w:t>
      </w:r>
      <w:r w:rsidR="0084500D">
        <w:rPr>
          <w:b w:val="0"/>
          <w:bCs w:val="0"/>
          <w:sz w:val="18"/>
          <w:szCs w:val="18"/>
        </w:rPr>
        <w:t xml:space="preserve"> for the facility</w:t>
      </w:r>
    </w:p>
    <w:p w14:paraId="28415EBA" w14:textId="77777777" w:rsidR="00003EBA" w:rsidRDefault="00003EBA" w:rsidP="001D7E96">
      <w:pPr>
        <w:pStyle w:val="Title"/>
        <w:jc w:val="left"/>
        <w:rPr>
          <w:b w:val="0"/>
          <w:bCs w:val="0"/>
        </w:rPr>
      </w:pPr>
    </w:p>
    <w:p w14:paraId="375D19C0" w14:textId="77777777" w:rsidR="001D7E96" w:rsidRDefault="001D7E96" w:rsidP="001D7E96">
      <w:pPr>
        <w:pStyle w:val="Title"/>
        <w:jc w:val="left"/>
        <w:rPr>
          <w:u w:val="single"/>
        </w:rPr>
      </w:pPr>
      <w:r>
        <w:rPr>
          <w:rFonts w:ascii="Tms Rmn" w:hAnsi="Tms Rmn" w:cs="Tms Rmn"/>
          <w:color w:val="000000"/>
          <w:u w:val="single"/>
        </w:rPr>
        <w:t>APPLICABLE/PROPOSED PERMIT LIMITATIONS</w:t>
      </w:r>
    </w:p>
    <w:p w14:paraId="09B1BC89" w14:textId="77777777" w:rsidR="001D7E96" w:rsidRDefault="001D7E96" w:rsidP="001D7E96">
      <w:pPr>
        <w:pStyle w:val="Title"/>
        <w:jc w:val="both"/>
        <w:rPr>
          <w:b w:val="0"/>
          <w:bCs w:val="0"/>
          <w:u w:val="single"/>
        </w:rPr>
      </w:pPr>
    </w:p>
    <w:p w14:paraId="029A88D3" w14:textId="08A92EFA" w:rsidR="001D7E96" w:rsidRDefault="00D20D06" w:rsidP="001D7E96">
      <w:pPr>
        <w:pStyle w:val="BodyText2"/>
        <w:tabs>
          <w:tab w:val="left" w:pos="5220"/>
        </w:tabs>
        <w:spacing w:line="240" w:lineRule="auto"/>
        <w:rPr>
          <w:rFonts w:ascii="Times New Roman" w:hAnsi="Times New Roman" w:cs="Times New Roman"/>
          <w:color w:val="auto"/>
        </w:rPr>
      </w:pPr>
      <w:r>
        <w:rPr>
          <w:rFonts w:ascii="Times New Roman" w:hAnsi="Times New Roman" w:cs="Times New Roman"/>
          <w:color w:val="auto"/>
        </w:rPr>
        <w:t xml:space="preserve">The facility is </w:t>
      </w:r>
      <w:r w:rsidR="003D1D8F">
        <w:rPr>
          <w:rFonts w:ascii="Times New Roman" w:hAnsi="Times New Roman" w:cs="Times New Roman"/>
          <w:color w:val="auto"/>
        </w:rPr>
        <w:t>requesting to retain their current federally enforceable</w:t>
      </w:r>
      <w:r w:rsidR="00DE61A8">
        <w:rPr>
          <w:rFonts w:ascii="Times New Roman" w:hAnsi="Times New Roman" w:cs="Times New Roman"/>
          <w:color w:val="auto"/>
        </w:rPr>
        <w:t xml:space="preserve"> maximum annual throughput limits of</w:t>
      </w:r>
    </w:p>
    <w:p w14:paraId="0343A3FC" w14:textId="46470F95" w:rsidR="00DE61A8" w:rsidRDefault="00DE61A8" w:rsidP="009B4A9E">
      <w:pPr>
        <w:pStyle w:val="BodyText2"/>
        <w:numPr>
          <w:ilvl w:val="0"/>
          <w:numId w:val="11"/>
        </w:numPr>
        <w:tabs>
          <w:tab w:val="left" w:pos="5220"/>
        </w:tabs>
        <w:spacing w:line="240" w:lineRule="auto"/>
        <w:rPr>
          <w:rFonts w:ascii="Times New Roman" w:hAnsi="Times New Roman" w:cs="Times New Roman"/>
          <w:color w:val="auto"/>
        </w:rPr>
      </w:pPr>
      <w:r>
        <w:rPr>
          <w:rFonts w:ascii="Times New Roman" w:hAnsi="Times New Roman" w:cs="Times New Roman"/>
          <w:color w:val="auto"/>
        </w:rPr>
        <w:t>4</w:t>
      </w:r>
      <w:r w:rsidR="00F15475">
        <w:rPr>
          <w:rFonts w:ascii="Times New Roman" w:hAnsi="Times New Roman" w:cs="Times New Roman"/>
          <w:color w:val="auto"/>
        </w:rPr>
        <w:t>,</w:t>
      </w:r>
      <w:r>
        <w:rPr>
          <w:rFonts w:ascii="Times New Roman" w:hAnsi="Times New Roman" w:cs="Times New Roman"/>
          <w:color w:val="auto"/>
        </w:rPr>
        <w:t>200 BPD or 1,533,000 BPY for AA-001</w:t>
      </w:r>
    </w:p>
    <w:p w14:paraId="49FB9C9F" w14:textId="2F2DAE02" w:rsidR="00DE61A8" w:rsidRDefault="002C58BD" w:rsidP="009B4A9E">
      <w:pPr>
        <w:pStyle w:val="BodyText2"/>
        <w:numPr>
          <w:ilvl w:val="0"/>
          <w:numId w:val="11"/>
        </w:numPr>
        <w:tabs>
          <w:tab w:val="left" w:pos="5220"/>
        </w:tabs>
        <w:spacing w:line="240" w:lineRule="auto"/>
        <w:rPr>
          <w:rFonts w:ascii="Times New Roman" w:hAnsi="Times New Roman" w:cs="Times New Roman"/>
          <w:color w:val="auto"/>
        </w:rPr>
      </w:pPr>
      <w:r>
        <w:rPr>
          <w:rFonts w:ascii="Times New Roman" w:hAnsi="Times New Roman" w:cs="Times New Roman"/>
          <w:color w:val="auto"/>
        </w:rPr>
        <w:t>3</w:t>
      </w:r>
      <w:r w:rsidR="00F15475">
        <w:rPr>
          <w:rFonts w:ascii="Times New Roman" w:hAnsi="Times New Roman" w:cs="Times New Roman"/>
          <w:color w:val="auto"/>
        </w:rPr>
        <w:t>,</w:t>
      </w:r>
      <w:r>
        <w:rPr>
          <w:rFonts w:ascii="Times New Roman" w:hAnsi="Times New Roman" w:cs="Times New Roman"/>
          <w:color w:val="auto"/>
        </w:rPr>
        <w:t>800 BPD or 1,022,000 BPY for AA-002</w:t>
      </w:r>
    </w:p>
    <w:p w14:paraId="7D7FAAD7" w14:textId="77777777" w:rsidR="001D7E96" w:rsidRDefault="001D7E96" w:rsidP="001D7E96">
      <w:pPr>
        <w:pStyle w:val="Title"/>
        <w:jc w:val="both"/>
        <w:rPr>
          <w:b w:val="0"/>
          <w:bCs w:val="0"/>
        </w:rPr>
      </w:pPr>
    </w:p>
    <w:p w14:paraId="25C9F00C" w14:textId="77777777" w:rsidR="001D7E96" w:rsidRDefault="001D7E96" w:rsidP="001D7E96">
      <w:pPr>
        <w:pStyle w:val="Title"/>
        <w:jc w:val="both"/>
        <w:rPr>
          <w:u w:val="single"/>
        </w:rPr>
      </w:pPr>
      <w:r>
        <w:rPr>
          <w:u w:val="single"/>
        </w:rPr>
        <w:t>NSPS APPLICABILITY</w:t>
      </w:r>
    </w:p>
    <w:p w14:paraId="4F0AC32B" w14:textId="77777777" w:rsidR="001D7E96" w:rsidRDefault="001D7E96" w:rsidP="001D7E96">
      <w:pPr>
        <w:pStyle w:val="Title"/>
        <w:jc w:val="both"/>
        <w:rPr>
          <w:u w:val="single"/>
        </w:rPr>
      </w:pPr>
    </w:p>
    <w:p w14:paraId="6AEE150C" w14:textId="711368BC" w:rsidR="001D7E96" w:rsidRPr="0064238D" w:rsidRDefault="008D1BD1" w:rsidP="001D7E96">
      <w:pPr>
        <w:pStyle w:val="Title"/>
        <w:jc w:val="both"/>
        <w:rPr>
          <w:b w:val="0"/>
          <w:bCs w:val="0"/>
          <w:i/>
          <w:iCs/>
        </w:rPr>
      </w:pPr>
      <w:r w:rsidRPr="0064238D">
        <w:rPr>
          <w:b w:val="0"/>
          <w:bCs w:val="0"/>
          <w:i/>
          <w:iCs/>
        </w:rPr>
        <w:t>40 CFR 60, Subpart Ka</w:t>
      </w:r>
      <w:r w:rsidR="00D73F3B" w:rsidRPr="0064238D">
        <w:rPr>
          <w:b w:val="0"/>
          <w:bCs w:val="0"/>
          <w:i/>
          <w:iCs/>
        </w:rPr>
        <w:t xml:space="preserve"> - Standards of Performance for Storage Vessels for Petroleum Liquids for Which Construction, Reconstruction, or Modification Commenced After May 18, 1978, and Prior to July 23, 1984</w:t>
      </w:r>
    </w:p>
    <w:p w14:paraId="02FC0989" w14:textId="05A1E80A" w:rsidR="00D73F3B" w:rsidRDefault="00F7683C" w:rsidP="001D7E96">
      <w:pPr>
        <w:pStyle w:val="Title"/>
        <w:jc w:val="both"/>
        <w:rPr>
          <w:b w:val="0"/>
          <w:bCs w:val="0"/>
        </w:rPr>
      </w:pPr>
      <w:r>
        <w:rPr>
          <w:b w:val="0"/>
          <w:bCs w:val="0"/>
        </w:rPr>
        <w:t>The</w:t>
      </w:r>
      <w:r w:rsidR="002B2D8E">
        <w:rPr>
          <w:b w:val="0"/>
          <w:bCs w:val="0"/>
        </w:rPr>
        <w:t xml:space="preserve"> 40 CFR 60, Subpart Ka applies to each storage vessel with a storage capacity greater than 151,416 liters (40,000 gallons) that is used to store petroleum liquids for which construction is commenced after May 18, 1978. </w:t>
      </w:r>
      <w:r w:rsidR="00257CEA">
        <w:rPr>
          <w:b w:val="0"/>
          <w:bCs w:val="0"/>
        </w:rPr>
        <w:t xml:space="preserve">The facility operates one storage tank (AA-001) that was constructed prior to </w:t>
      </w:r>
      <w:r w:rsidR="001859C3">
        <w:rPr>
          <w:b w:val="0"/>
          <w:bCs w:val="0"/>
        </w:rPr>
        <w:t>August 7, 1977</w:t>
      </w:r>
      <w:r w:rsidR="00DB7F8A">
        <w:rPr>
          <w:b w:val="0"/>
          <w:bCs w:val="0"/>
        </w:rPr>
        <w:t xml:space="preserve"> (per application in PER20130001)</w:t>
      </w:r>
      <w:r w:rsidR="00257CEA">
        <w:rPr>
          <w:b w:val="0"/>
          <w:bCs w:val="0"/>
        </w:rPr>
        <w:t xml:space="preserve">. </w:t>
      </w:r>
      <w:r w:rsidR="00876081">
        <w:rPr>
          <w:b w:val="0"/>
          <w:bCs w:val="0"/>
        </w:rPr>
        <w:t xml:space="preserve">Therefore, Emission Point </w:t>
      </w:r>
      <w:r w:rsidR="00876081">
        <w:rPr>
          <w:b w:val="0"/>
          <w:bCs w:val="0"/>
        </w:rPr>
        <w:lastRenderedPageBreak/>
        <w:t xml:space="preserve">AA-001 is not subject to the provisions of Subpart Ka. </w:t>
      </w:r>
      <w:r w:rsidR="002B2D8E">
        <w:rPr>
          <w:b w:val="0"/>
          <w:bCs w:val="0"/>
        </w:rPr>
        <w:t xml:space="preserve">The facility operates </w:t>
      </w:r>
      <w:r w:rsidR="005D0E51">
        <w:rPr>
          <w:b w:val="0"/>
          <w:bCs w:val="0"/>
        </w:rPr>
        <w:t>one storage tank (AA-</w:t>
      </w:r>
      <w:r w:rsidR="003C51DC">
        <w:rPr>
          <w:b w:val="0"/>
          <w:bCs w:val="0"/>
        </w:rPr>
        <w:t>002</w:t>
      </w:r>
      <w:r w:rsidR="005D0E51">
        <w:rPr>
          <w:b w:val="0"/>
          <w:bCs w:val="0"/>
        </w:rPr>
        <w:t xml:space="preserve">) that is </w:t>
      </w:r>
      <w:r w:rsidR="00C6668C">
        <w:rPr>
          <w:b w:val="0"/>
          <w:bCs w:val="0"/>
        </w:rPr>
        <w:t xml:space="preserve">a floating roof, liquid product storage vessel with a capacity </w:t>
      </w:r>
      <w:r w:rsidR="005D0E51">
        <w:rPr>
          <w:b w:val="0"/>
          <w:bCs w:val="0"/>
        </w:rPr>
        <w:t xml:space="preserve">greater than </w:t>
      </w:r>
      <w:r w:rsidR="00C6668C">
        <w:rPr>
          <w:b w:val="0"/>
          <w:bCs w:val="0"/>
        </w:rPr>
        <w:t>10,000 barrels (</w:t>
      </w:r>
      <w:r w:rsidR="005D0E51">
        <w:rPr>
          <w:b w:val="0"/>
          <w:bCs w:val="0"/>
        </w:rPr>
        <w:t>40,000 gallons</w:t>
      </w:r>
      <w:r w:rsidR="00C6668C">
        <w:rPr>
          <w:b w:val="0"/>
          <w:bCs w:val="0"/>
        </w:rPr>
        <w:t>) that was</w:t>
      </w:r>
      <w:r w:rsidR="003274BB">
        <w:rPr>
          <w:b w:val="0"/>
          <w:bCs w:val="0"/>
        </w:rPr>
        <w:t xml:space="preserve"> constructed after May 18, 1978</w:t>
      </w:r>
      <w:r w:rsidR="005D0E51">
        <w:rPr>
          <w:b w:val="0"/>
          <w:bCs w:val="0"/>
        </w:rPr>
        <w:t>. Therefore,</w:t>
      </w:r>
      <w:r w:rsidR="0064238D">
        <w:rPr>
          <w:b w:val="0"/>
          <w:bCs w:val="0"/>
        </w:rPr>
        <w:t xml:space="preserve"> </w:t>
      </w:r>
      <w:r w:rsidR="003329FE">
        <w:rPr>
          <w:b w:val="0"/>
          <w:bCs w:val="0"/>
        </w:rPr>
        <w:t>Emission Point AA-002</w:t>
      </w:r>
      <w:r w:rsidR="0064238D">
        <w:rPr>
          <w:b w:val="0"/>
          <w:bCs w:val="0"/>
        </w:rPr>
        <w:t xml:space="preserve"> </w:t>
      </w:r>
      <w:r w:rsidR="0064238D" w:rsidRPr="0064238D">
        <w:rPr>
          <w:b w:val="0"/>
          <w:bCs w:val="0"/>
          <w:u w:val="single"/>
        </w:rPr>
        <w:t>is</w:t>
      </w:r>
      <w:r w:rsidR="0064238D">
        <w:rPr>
          <w:b w:val="0"/>
          <w:bCs w:val="0"/>
        </w:rPr>
        <w:t xml:space="preserve"> subject to</w:t>
      </w:r>
      <w:r w:rsidR="005D0E51">
        <w:rPr>
          <w:b w:val="0"/>
          <w:bCs w:val="0"/>
        </w:rPr>
        <w:t xml:space="preserve"> the provisions of Subpart Ka</w:t>
      </w:r>
      <w:r w:rsidR="0064238D">
        <w:rPr>
          <w:b w:val="0"/>
          <w:bCs w:val="0"/>
        </w:rPr>
        <w:t>.</w:t>
      </w:r>
    </w:p>
    <w:p w14:paraId="027645E0" w14:textId="77777777" w:rsidR="0064238D" w:rsidRDefault="0064238D" w:rsidP="001D7E96">
      <w:pPr>
        <w:pStyle w:val="Title"/>
        <w:jc w:val="both"/>
        <w:rPr>
          <w:b w:val="0"/>
          <w:bCs w:val="0"/>
        </w:rPr>
      </w:pPr>
    </w:p>
    <w:p w14:paraId="15542D30" w14:textId="75F64696" w:rsidR="0064238D" w:rsidRPr="00DB69C8" w:rsidRDefault="00FE3290" w:rsidP="001D7E96">
      <w:pPr>
        <w:pStyle w:val="Title"/>
        <w:jc w:val="both"/>
        <w:rPr>
          <w:b w:val="0"/>
          <w:bCs w:val="0"/>
          <w:i/>
          <w:iCs/>
        </w:rPr>
      </w:pPr>
      <w:r w:rsidRPr="00DB69C8">
        <w:rPr>
          <w:b w:val="0"/>
          <w:bCs w:val="0"/>
          <w:i/>
          <w:iCs/>
        </w:rPr>
        <w:t xml:space="preserve">40 CFR 60, Subpart OOOO - </w:t>
      </w:r>
      <w:r w:rsidR="00810D68" w:rsidRPr="00DB69C8">
        <w:rPr>
          <w:b w:val="0"/>
          <w:bCs w:val="0"/>
          <w:i/>
          <w:iCs/>
        </w:rPr>
        <w:t>Standards of Performance for Crude Oil and Natural Gas Facilities for Which Construction, Modification, or Reconstruction Commenced After August 23, 2011, and on or Before September 18, 2015</w:t>
      </w:r>
    </w:p>
    <w:p w14:paraId="3B8C2C3D" w14:textId="61E6DDC5" w:rsidR="00810D68" w:rsidRDefault="00810D68" w:rsidP="001D7E96">
      <w:pPr>
        <w:pStyle w:val="Title"/>
        <w:jc w:val="both"/>
        <w:rPr>
          <w:b w:val="0"/>
          <w:bCs w:val="0"/>
        </w:rPr>
      </w:pPr>
      <w:r>
        <w:rPr>
          <w:b w:val="0"/>
          <w:bCs w:val="0"/>
        </w:rPr>
        <w:t>The provisions of Subpart OOOO apply to facilities that</w:t>
      </w:r>
      <w:r w:rsidR="009D2D8A">
        <w:rPr>
          <w:b w:val="0"/>
          <w:bCs w:val="0"/>
        </w:rPr>
        <w:t xml:space="preserve"> commence construction, modification, or reconstruction after August 23, 2011 and on or before September 18, 2015. The facility has not modified or reconstructed the facility</w:t>
      </w:r>
      <w:r w:rsidR="00DB69C8">
        <w:rPr>
          <w:b w:val="0"/>
          <w:bCs w:val="0"/>
        </w:rPr>
        <w:t xml:space="preserve">. Therefore, the facility is </w:t>
      </w:r>
      <w:r w:rsidR="00DB69C8" w:rsidRPr="00DB69C8">
        <w:rPr>
          <w:b w:val="0"/>
          <w:bCs w:val="0"/>
          <w:u w:val="single"/>
        </w:rPr>
        <w:t>not</w:t>
      </w:r>
      <w:r w:rsidR="00DB69C8">
        <w:rPr>
          <w:b w:val="0"/>
          <w:bCs w:val="0"/>
        </w:rPr>
        <w:t xml:space="preserve"> subject to the provisions of Subpart OOOO.</w:t>
      </w:r>
    </w:p>
    <w:p w14:paraId="4AAA51B0" w14:textId="77777777" w:rsidR="001D7E96" w:rsidRDefault="001D7E96" w:rsidP="001D7E96">
      <w:pPr>
        <w:pStyle w:val="Title"/>
        <w:jc w:val="both"/>
        <w:rPr>
          <w:b w:val="0"/>
          <w:bCs w:val="0"/>
        </w:rPr>
      </w:pPr>
    </w:p>
    <w:p w14:paraId="030CAF2C" w14:textId="77777777" w:rsidR="001D7E96" w:rsidRDefault="001D7E96" w:rsidP="001D7E96">
      <w:pPr>
        <w:pStyle w:val="Title"/>
        <w:jc w:val="both"/>
        <w:rPr>
          <w:u w:val="single"/>
        </w:rPr>
      </w:pPr>
      <w:r>
        <w:rPr>
          <w:u w:val="single"/>
        </w:rPr>
        <w:t>MACT APPLICABILITY</w:t>
      </w:r>
    </w:p>
    <w:p w14:paraId="18A8E37C" w14:textId="77777777" w:rsidR="001D7E96" w:rsidRDefault="001D7E96" w:rsidP="001D7E96">
      <w:pPr>
        <w:pStyle w:val="Title"/>
        <w:jc w:val="both"/>
        <w:rPr>
          <w:u w:val="single"/>
        </w:rPr>
      </w:pPr>
    </w:p>
    <w:p w14:paraId="222BBDE1" w14:textId="18C7CF48" w:rsidR="001D7E96" w:rsidRPr="00BF1397" w:rsidRDefault="002C444E" w:rsidP="001D7E96">
      <w:pPr>
        <w:pStyle w:val="Title"/>
        <w:jc w:val="both"/>
        <w:rPr>
          <w:b w:val="0"/>
          <w:bCs w:val="0"/>
          <w:i/>
          <w:iCs/>
        </w:rPr>
      </w:pPr>
      <w:r w:rsidRPr="00BF1397">
        <w:rPr>
          <w:b w:val="0"/>
          <w:bCs w:val="0"/>
          <w:i/>
          <w:iCs/>
        </w:rPr>
        <w:t>40 CFR 63, Subpart HH</w:t>
      </w:r>
      <w:r w:rsidR="009B4C45" w:rsidRPr="00BF1397">
        <w:rPr>
          <w:b w:val="0"/>
          <w:bCs w:val="0"/>
          <w:i/>
          <w:iCs/>
        </w:rPr>
        <w:t xml:space="preserve"> - National Emission Standards for Hazardous Air Pollutants From Oil and Natural Gas Production Facilities</w:t>
      </w:r>
    </w:p>
    <w:p w14:paraId="3300744B" w14:textId="7C86C133" w:rsidR="009B4C45" w:rsidRDefault="009B4C45" w:rsidP="001D7E96">
      <w:pPr>
        <w:pStyle w:val="Title"/>
        <w:jc w:val="both"/>
        <w:rPr>
          <w:b w:val="0"/>
          <w:bCs w:val="0"/>
        </w:rPr>
      </w:pPr>
      <w:r>
        <w:rPr>
          <w:b w:val="0"/>
          <w:bCs w:val="0"/>
        </w:rPr>
        <w:t>Subpart HH applies to facilities that are major or area</w:t>
      </w:r>
      <w:r w:rsidR="001A78F3">
        <w:rPr>
          <w:b w:val="0"/>
          <w:bCs w:val="0"/>
        </w:rPr>
        <w:t xml:space="preserve"> </w:t>
      </w:r>
      <w:r w:rsidR="005C0AD0">
        <w:rPr>
          <w:b w:val="0"/>
          <w:bCs w:val="0"/>
        </w:rPr>
        <w:t xml:space="preserve">sources of HAPs. </w:t>
      </w:r>
      <w:r w:rsidR="00BF1397">
        <w:rPr>
          <w:b w:val="0"/>
          <w:bCs w:val="0"/>
        </w:rPr>
        <w:t xml:space="preserve">Tinsley Resources LLC is a minor source of HAP emissions. Therefore, the facility is </w:t>
      </w:r>
      <w:r w:rsidR="00BF1397" w:rsidRPr="00BF1397">
        <w:rPr>
          <w:b w:val="0"/>
          <w:bCs w:val="0"/>
          <w:u w:val="single"/>
        </w:rPr>
        <w:t>not</w:t>
      </w:r>
      <w:r w:rsidR="00BF1397">
        <w:rPr>
          <w:b w:val="0"/>
          <w:bCs w:val="0"/>
        </w:rPr>
        <w:t xml:space="preserve"> subject to the provisions of Subpart HH.</w:t>
      </w:r>
    </w:p>
    <w:p w14:paraId="03202334" w14:textId="77777777" w:rsidR="001D7E96" w:rsidRDefault="001D7E96" w:rsidP="001D7E96">
      <w:pPr>
        <w:pStyle w:val="Title"/>
        <w:jc w:val="both"/>
        <w:rPr>
          <w:b w:val="0"/>
          <w:bCs w:val="0"/>
        </w:rPr>
      </w:pPr>
    </w:p>
    <w:p w14:paraId="02F339CB" w14:textId="051D8735" w:rsidR="001D7E96" w:rsidRPr="00C43F84" w:rsidRDefault="003C357A" w:rsidP="001D7E96">
      <w:pPr>
        <w:pStyle w:val="Title"/>
        <w:jc w:val="both"/>
        <w:rPr>
          <w:b w:val="0"/>
          <w:bCs w:val="0"/>
          <w:i/>
          <w:iCs/>
        </w:rPr>
      </w:pPr>
      <w:r w:rsidRPr="00C43F84">
        <w:rPr>
          <w:b w:val="0"/>
          <w:bCs w:val="0"/>
          <w:i/>
          <w:iCs/>
        </w:rPr>
        <w:t xml:space="preserve">40 CFR 63, Subpart BBBBBB - </w:t>
      </w:r>
      <w:r w:rsidR="00B232E0" w:rsidRPr="00C43F84">
        <w:rPr>
          <w:b w:val="0"/>
          <w:bCs w:val="0"/>
          <w:i/>
          <w:iCs/>
        </w:rPr>
        <w:t>National Emission Standards for Hazardous Air Pollutants for Source Category: Gasoline Distribution Bulk Terminals, Bulk Plants, and Pipeline Facilities</w:t>
      </w:r>
    </w:p>
    <w:p w14:paraId="6446808E" w14:textId="1930C7B2" w:rsidR="00B232E0" w:rsidRDefault="00B232E0" w:rsidP="001D7E96">
      <w:pPr>
        <w:pStyle w:val="Title"/>
        <w:jc w:val="both"/>
        <w:rPr>
          <w:b w:val="0"/>
          <w:bCs w:val="0"/>
        </w:rPr>
      </w:pPr>
      <w:r>
        <w:rPr>
          <w:b w:val="0"/>
          <w:bCs w:val="0"/>
        </w:rPr>
        <w:t xml:space="preserve">Subpart BBBBBB </w:t>
      </w:r>
      <w:r w:rsidRPr="00B232E0">
        <w:rPr>
          <w:b w:val="0"/>
          <w:bCs w:val="0"/>
        </w:rPr>
        <w:t>establishes national emission limitations and management practices for hazardous air pollutants (HAP) emitted from area source gasoline distribution bulk terminals, bulk plants, and pipeline facilities.</w:t>
      </w:r>
      <w:r w:rsidR="00187558">
        <w:rPr>
          <w:b w:val="0"/>
          <w:bCs w:val="0"/>
        </w:rPr>
        <w:t xml:space="preserve"> </w:t>
      </w:r>
      <w:r w:rsidR="00C43F84">
        <w:rPr>
          <w:b w:val="0"/>
          <w:bCs w:val="0"/>
        </w:rPr>
        <w:t xml:space="preserve">The facility stores crude oil not gasoline. Therefore, the facility is </w:t>
      </w:r>
      <w:r w:rsidR="00C43F84" w:rsidRPr="00C43F84">
        <w:rPr>
          <w:b w:val="0"/>
          <w:bCs w:val="0"/>
          <w:u w:val="single"/>
        </w:rPr>
        <w:t>not</w:t>
      </w:r>
      <w:r w:rsidR="00C43F84">
        <w:rPr>
          <w:b w:val="0"/>
          <w:bCs w:val="0"/>
        </w:rPr>
        <w:t xml:space="preserve"> subject to the provisions of Subpart BBBBBB.</w:t>
      </w:r>
    </w:p>
    <w:p w14:paraId="468C583A" w14:textId="77777777" w:rsidR="00A11EAD" w:rsidRDefault="00A11EAD">
      <w:pPr>
        <w:pStyle w:val="Title"/>
        <w:jc w:val="both"/>
        <w:rPr>
          <w:b w:val="0"/>
          <w:bCs w:val="0"/>
        </w:rPr>
      </w:pPr>
    </w:p>
    <w:p w14:paraId="11217CB2" w14:textId="77777777" w:rsidR="00AE785C" w:rsidRDefault="00AE785C">
      <w:pPr>
        <w:spacing w:line="240" w:lineRule="atLeast"/>
        <w:rPr>
          <w:rFonts w:ascii="Tms Rmn" w:hAnsi="Tms Rmn" w:cs="Tms Rmn"/>
          <w:b/>
          <w:bCs/>
          <w:color w:val="000000"/>
          <w:u w:val="single"/>
        </w:rPr>
      </w:pPr>
      <w:r>
        <w:rPr>
          <w:rFonts w:ascii="Tms Rmn" w:hAnsi="Tms Rmn" w:cs="Tms Rmn"/>
          <w:b/>
          <w:bCs/>
          <w:color w:val="000000"/>
          <w:u w:val="single"/>
        </w:rPr>
        <w:t>PUBLIC PARTICIPATION</w:t>
      </w:r>
    </w:p>
    <w:p w14:paraId="4CB9610D" w14:textId="77777777" w:rsidR="00AE785C" w:rsidRDefault="00AE785C">
      <w:pPr>
        <w:spacing w:line="240" w:lineRule="atLeast"/>
        <w:rPr>
          <w:rFonts w:ascii="Tms Rmn" w:hAnsi="Tms Rmn" w:cs="Tms Rmn"/>
          <w:b/>
          <w:bCs/>
          <w:color w:val="000000"/>
          <w:u w:val="single"/>
        </w:rPr>
      </w:pPr>
    </w:p>
    <w:p w14:paraId="7ECD05E3" w14:textId="48D1D28B" w:rsidR="00AE785C" w:rsidRDefault="00AE785C">
      <w:pPr>
        <w:pStyle w:val="BodyText2"/>
      </w:pPr>
      <w:r>
        <w:t xml:space="preserve">The 30-day public notice period began on </w:t>
      </w:r>
      <w:r w:rsidR="00935589">
        <w:t>July 8, 2026</w:t>
      </w:r>
      <w:r w:rsidR="00935589">
        <w:t xml:space="preserve">, </w:t>
      </w:r>
      <w:r w:rsidR="00B971D2">
        <w:t>when</w:t>
      </w:r>
      <w:r>
        <w:t xml:space="preserve"> </w:t>
      </w:r>
      <w:r w:rsidR="00577E4D">
        <w:t>the</w:t>
      </w:r>
      <w:r>
        <w:t xml:space="preserve"> notice </w:t>
      </w:r>
      <w:r w:rsidR="00B971D2">
        <w:t xml:space="preserve">was posted </w:t>
      </w:r>
      <w:r w:rsidR="00577E4D">
        <w:t>on MDEQ’s website</w:t>
      </w:r>
      <w:r>
        <w:t xml:space="preserve"> and ends </w:t>
      </w:r>
      <w:r w:rsidR="002A6CD1">
        <w:t>August 7, 2026</w:t>
      </w:r>
      <w:r w:rsidR="002A6CD1">
        <w:t>.</w:t>
      </w:r>
    </w:p>
    <w:p w14:paraId="1A67D153" w14:textId="77777777" w:rsidR="00AE785C" w:rsidRDefault="00AE785C">
      <w:pPr>
        <w:spacing w:line="240" w:lineRule="atLeast"/>
        <w:rPr>
          <w:rFonts w:ascii="Tms Rmn" w:hAnsi="Tms Rmn" w:cs="Tms Rmn"/>
          <w:color w:val="000000"/>
        </w:rPr>
      </w:pPr>
    </w:p>
    <w:p w14:paraId="1BD61A5F" w14:textId="77777777" w:rsidR="00745139" w:rsidRDefault="00745139">
      <w:pPr>
        <w:spacing w:line="240" w:lineRule="atLeast"/>
        <w:rPr>
          <w:rFonts w:ascii="Tms Rmn" w:hAnsi="Tms Rmn" w:cs="Tms Rmn"/>
          <w:b/>
          <w:bCs/>
          <w:color w:val="000000"/>
          <w:u w:val="single"/>
        </w:rPr>
      </w:pPr>
    </w:p>
    <w:sectPr w:rsidR="00745139" w:rsidSect="0055558F">
      <w:headerReference w:type="default" r:id="rId8"/>
      <w:footerReference w:type="default" r:id="rId9"/>
      <w:footerReference w:type="first" r:id="rId10"/>
      <w:pgSz w:w="12240" w:h="15840" w:code="1"/>
      <w:pgMar w:top="1440" w:right="1440" w:bottom="1440" w:left="1440"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27EE44" w14:textId="77777777" w:rsidR="00857F29" w:rsidRDefault="00857F29">
      <w:r>
        <w:separator/>
      </w:r>
    </w:p>
  </w:endnote>
  <w:endnote w:type="continuationSeparator" w:id="0">
    <w:p w14:paraId="179F9921" w14:textId="77777777" w:rsidR="00857F29" w:rsidRDefault="00857F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ms Rmn">
    <w:altName w:val="Times New Roma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225677" w14:textId="77777777" w:rsidR="00AE785C" w:rsidRPr="0026446A" w:rsidRDefault="0026446A" w:rsidP="0026446A">
    <w:pPr>
      <w:pStyle w:val="Footer"/>
    </w:pPr>
    <w:r>
      <w:t>7609 PER20240001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5A898" w14:textId="77777777" w:rsidR="00AE785C" w:rsidRDefault="00AE785C">
    <w:pPr>
      <w:pStyle w:val="Footer"/>
    </w:pPr>
    <w:r>
      <w:t>7609 PER20240001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C7911D" w14:textId="77777777" w:rsidR="00857F29" w:rsidRDefault="00857F29">
      <w:r>
        <w:separator/>
      </w:r>
    </w:p>
  </w:footnote>
  <w:footnote w:type="continuationSeparator" w:id="0">
    <w:p w14:paraId="2C6826E2" w14:textId="77777777" w:rsidR="00857F29" w:rsidRDefault="00857F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98F69" w14:textId="77777777" w:rsidR="00AE785C" w:rsidRDefault="00AE785C">
    <w:pPr>
      <w:pStyle w:val="Header"/>
      <w:rPr>
        <w:sz w:val="18"/>
        <w:szCs w:val="18"/>
      </w:rPr>
    </w:pPr>
    <w:r>
      <w:rPr>
        <w:sz w:val="18"/>
        <w:szCs w:val="18"/>
      </w:rPr>
      <w:t>Permit Review Summary</w:t>
    </w:r>
  </w:p>
  <w:p w14:paraId="5AFF8250" w14:textId="77777777" w:rsidR="00AE785C" w:rsidRDefault="00AE785C">
    <w:pPr>
      <w:pStyle w:val="Header"/>
      <w:rPr>
        <w:rStyle w:val="PageNumber"/>
        <w:sz w:val="18"/>
        <w:szCs w:val="18"/>
      </w:rPr>
    </w:pPr>
    <w:r>
      <w:rPr>
        <w:sz w:val="18"/>
        <w:szCs w:val="18"/>
      </w:rPr>
      <w:t xml:space="preserve">Page </w:t>
    </w:r>
    <w:r>
      <w:rPr>
        <w:rStyle w:val="PageNumber"/>
        <w:sz w:val="18"/>
        <w:szCs w:val="18"/>
      </w:rPr>
      <w:fldChar w:fldCharType="begin"/>
    </w:r>
    <w:r>
      <w:rPr>
        <w:rStyle w:val="PageNumber"/>
        <w:sz w:val="18"/>
        <w:szCs w:val="18"/>
      </w:rPr>
      <w:instrText xml:space="preserve"> PAGE </w:instrText>
    </w:r>
    <w:r>
      <w:rPr>
        <w:rStyle w:val="PageNumber"/>
        <w:sz w:val="18"/>
        <w:szCs w:val="18"/>
      </w:rPr>
      <w:fldChar w:fldCharType="separate"/>
    </w:r>
    <w:r w:rsidR="00AF3C0E">
      <w:rPr>
        <w:rStyle w:val="PageNumber"/>
        <w:noProof/>
        <w:sz w:val="18"/>
        <w:szCs w:val="18"/>
      </w:rPr>
      <w:t>2</w:t>
    </w:r>
    <w:r>
      <w:rPr>
        <w:rStyle w:val="PageNumber"/>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0402A"/>
    <w:multiLevelType w:val="singleLevel"/>
    <w:tmpl w:val="FFFFFFFF"/>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EDB1F8D"/>
    <w:multiLevelType w:val="singleLevel"/>
    <w:tmpl w:val="FFFFFFFF"/>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25D0623A"/>
    <w:multiLevelType w:val="singleLevel"/>
    <w:tmpl w:val="FFFFFFFF"/>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32552794"/>
    <w:multiLevelType w:val="singleLevel"/>
    <w:tmpl w:val="FFFFFFFF"/>
    <w:lvl w:ilvl="0">
      <w:start w:val="1"/>
      <w:numFmt w:val="decimal"/>
      <w:lvlText w:val="%1."/>
      <w:lvlJc w:val="left"/>
      <w:pPr>
        <w:tabs>
          <w:tab w:val="num" w:pos="360"/>
        </w:tabs>
        <w:ind w:left="360" w:hanging="360"/>
      </w:pPr>
      <w:rPr>
        <w:rFonts w:cs="Times New Roman"/>
      </w:rPr>
    </w:lvl>
  </w:abstractNum>
  <w:abstractNum w:abstractNumId="4" w15:restartNumberingAfterBreak="0">
    <w:nsid w:val="4FC57114"/>
    <w:multiLevelType w:val="singleLevel"/>
    <w:tmpl w:val="FFFFFFFF"/>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563D3BAD"/>
    <w:multiLevelType w:val="singleLevel"/>
    <w:tmpl w:val="FFFFFFFF"/>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5EA366AA"/>
    <w:multiLevelType w:val="singleLevel"/>
    <w:tmpl w:val="FFFFFFFF"/>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6B296088"/>
    <w:multiLevelType w:val="singleLevel"/>
    <w:tmpl w:val="FFFFFFFF"/>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6D522473"/>
    <w:multiLevelType w:val="singleLevel"/>
    <w:tmpl w:val="FFFFFFFF"/>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7C330BD1"/>
    <w:multiLevelType w:val="hybridMultilevel"/>
    <w:tmpl w:val="1034F5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D090F9E"/>
    <w:multiLevelType w:val="singleLevel"/>
    <w:tmpl w:val="FFFFFFFF"/>
    <w:lvl w:ilvl="0">
      <w:start w:val="1"/>
      <w:numFmt w:val="bullet"/>
      <w:lvlText w:val=""/>
      <w:lvlJc w:val="left"/>
      <w:pPr>
        <w:tabs>
          <w:tab w:val="num" w:pos="360"/>
        </w:tabs>
        <w:ind w:left="360" w:hanging="360"/>
      </w:pPr>
      <w:rPr>
        <w:rFonts w:ascii="Symbol" w:hAnsi="Symbol" w:hint="default"/>
      </w:rPr>
    </w:lvl>
  </w:abstractNum>
  <w:num w:numId="1" w16cid:durableId="1286765657">
    <w:abstractNumId w:val="3"/>
  </w:num>
  <w:num w:numId="2" w16cid:durableId="1135294100">
    <w:abstractNumId w:val="0"/>
  </w:num>
  <w:num w:numId="3" w16cid:durableId="151147771">
    <w:abstractNumId w:val="4"/>
  </w:num>
  <w:num w:numId="4" w16cid:durableId="1681152855">
    <w:abstractNumId w:val="8"/>
  </w:num>
  <w:num w:numId="5" w16cid:durableId="1736053329">
    <w:abstractNumId w:val="1"/>
  </w:num>
  <w:num w:numId="6" w16cid:durableId="1780298847">
    <w:abstractNumId w:val="7"/>
  </w:num>
  <w:num w:numId="7" w16cid:durableId="1879200870">
    <w:abstractNumId w:val="10"/>
  </w:num>
  <w:num w:numId="8" w16cid:durableId="594830093">
    <w:abstractNumId w:val="6"/>
  </w:num>
  <w:num w:numId="9" w16cid:durableId="696394591">
    <w:abstractNumId w:val="5"/>
  </w:num>
  <w:num w:numId="10" w16cid:durableId="758521492">
    <w:abstractNumId w:val="2"/>
  </w:num>
  <w:num w:numId="11" w16cid:durableId="199448029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ddress" w:val="\'5c'5c'5c'5c'5c'5c'5c'5c'5c'5c'5c'5c'5c'5c'5c'5c'0d\'5c'5c'5c'5c'5c'5c'5c'5c'5c'5c'5c'5c'5c'5c'5c'5c'0d\'5c'5c'5c'5c'5c'5c'5c'5c'5c'5c'5c'5c'5c'5c'5c'5c'0d,   "/>
    <w:docVar w:name="FacilityContact" w:val="man"/>
    <w:docVar w:name="Ref" w:val="Permit 1\'5c'5c'5c'5c'5c'5c'5c'5c'5c'5c'5c'5c'5c'5c'5c'5c'0d\'5c'5c'5c'5c'5c'5c'5c'5c'5c'5c'5c'5c'5c'5c'5c'5c'0aPermit 2\'5c'5c'5c'5c'5c'5c'5c'5c'5c'5c'5c'5c'5c'5c'5c'5c'0d\'5c'5c'5c'5c'5c'5c'5c'5c'5c'5c'5c'5c'5c'5c'5c'5c'0a"/>
  </w:docVars>
  <w:rsids>
    <w:rsidRoot w:val="0026446A"/>
    <w:rsid w:val="00003EBA"/>
    <w:rsid w:val="00031259"/>
    <w:rsid w:val="00032135"/>
    <w:rsid w:val="00087DEA"/>
    <w:rsid w:val="000A2B3A"/>
    <w:rsid w:val="000B096A"/>
    <w:rsid w:val="000E657C"/>
    <w:rsid w:val="001859C3"/>
    <w:rsid w:val="00187558"/>
    <w:rsid w:val="001A4486"/>
    <w:rsid w:val="001A78F3"/>
    <w:rsid w:val="001D7E96"/>
    <w:rsid w:val="00211799"/>
    <w:rsid w:val="00233312"/>
    <w:rsid w:val="00257CEA"/>
    <w:rsid w:val="0026446A"/>
    <w:rsid w:val="002A6CD1"/>
    <w:rsid w:val="002B2D8E"/>
    <w:rsid w:val="002C444E"/>
    <w:rsid w:val="002C58BD"/>
    <w:rsid w:val="002F47BB"/>
    <w:rsid w:val="003274BB"/>
    <w:rsid w:val="003329FE"/>
    <w:rsid w:val="00351571"/>
    <w:rsid w:val="00361BC2"/>
    <w:rsid w:val="00385FB7"/>
    <w:rsid w:val="003B4F53"/>
    <w:rsid w:val="003C357A"/>
    <w:rsid w:val="003C51DC"/>
    <w:rsid w:val="003D1D8F"/>
    <w:rsid w:val="00455886"/>
    <w:rsid w:val="004E4C91"/>
    <w:rsid w:val="00514DB9"/>
    <w:rsid w:val="00517E32"/>
    <w:rsid w:val="00533198"/>
    <w:rsid w:val="0055558F"/>
    <w:rsid w:val="00562523"/>
    <w:rsid w:val="00577E4D"/>
    <w:rsid w:val="00590A15"/>
    <w:rsid w:val="00590B28"/>
    <w:rsid w:val="005C0AD0"/>
    <w:rsid w:val="005D0E51"/>
    <w:rsid w:val="005D5819"/>
    <w:rsid w:val="005E44A3"/>
    <w:rsid w:val="00615DA7"/>
    <w:rsid w:val="00617F86"/>
    <w:rsid w:val="0063209C"/>
    <w:rsid w:val="0064238D"/>
    <w:rsid w:val="00671D57"/>
    <w:rsid w:val="00674247"/>
    <w:rsid w:val="0069638F"/>
    <w:rsid w:val="006A1772"/>
    <w:rsid w:val="006A4DF3"/>
    <w:rsid w:val="006B2789"/>
    <w:rsid w:val="006B38D2"/>
    <w:rsid w:val="006E1A41"/>
    <w:rsid w:val="006E4127"/>
    <w:rsid w:val="00745139"/>
    <w:rsid w:val="00761392"/>
    <w:rsid w:val="007663F7"/>
    <w:rsid w:val="00771954"/>
    <w:rsid w:val="00795AFF"/>
    <w:rsid w:val="00796EED"/>
    <w:rsid w:val="007E128C"/>
    <w:rsid w:val="007E3534"/>
    <w:rsid w:val="00810D68"/>
    <w:rsid w:val="008139C3"/>
    <w:rsid w:val="0084500D"/>
    <w:rsid w:val="00857F29"/>
    <w:rsid w:val="008758D5"/>
    <w:rsid w:val="00876081"/>
    <w:rsid w:val="008B1530"/>
    <w:rsid w:val="008C68B5"/>
    <w:rsid w:val="008D0933"/>
    <w:rsid w:val="008D1BD1"/>
    <w:rsid w:val="008D1C64"/>
    <w:rsid w:val="008F3703"/>
    <w:rsid w:val="008F5458"/>
    <w:rsid w:val="009041BA"/>
    <w:rsid w:val="00935589"/>
    <w:rsid w:val="00952933"/>
    <w:rsid w:val="00986DF9"/>
    <w:rsid w:val="009A2FCC"/>
    <w:rsid w:val="009B4A9E"/>
    <w:rsid w:val="009B4C45"/>
    <w:rsid w:val="009C373E"/>
    <w:rsid w:val="009D2D8A"/>
    <w:rsid w:val="009F415D"/>
    <w:rsid w:val="009F78FC"/>
    <w:rsid w:val="00A028B8"/>
    <w:rsid w:val="00A11EAD"/>
    <w:rsid w:val="00A21F1D"/>
    <w:rsid w:val="00A24FFD"/>
    <w:rsid w:val="00A45CF6"/>
    <w:rsid w:val="00A722B8"/>
    <w:rsid w:val="00A82558"/>
    <w:rsid w:val="00A90E68"/>
    <w:rsid w:val="00AA0988"/>
    <w:rsid w:val="00AB5062"/>
    <w:rsid w:val="00AC21A4"/>
    <w:rsid w:val="00AC2A09"/>
    <w:rsid w:val="00AE785C"/>
    <w:rsid w:val="00AF3517"/>
    <w:rsid w:val="00AF3C0E"/>
    <w:rsid w:val="00B02701"/>
    <w:rsid w:val="00B232E0"/>
    <w:rsid w:val="00B4253C"/>
    <w:rsid w:val="00B43E9A"/>
    <w:rsid w:val="00B6285D"/>
    <w:rsid w:val="00B64B20"/>
    <w:rsid w:val="00B971D2"/>
    <w:rsid w:val="00BF1397"/>
    <w:rsid w:val="00BF79C3"/>
    <w:rsid w:val="00C1082F"/>
    <w:rsid w:val="00C42739"/>
    <w:rsid w:val="00C43F84"/>
    <w:rsid w:val="00C46F95"/>
    <w:rsid w:val="00C65BAD"/>
    <w:rsid w:val="00C6668C"/>
    <w:rsid w:val="00C77954"/>
    <w:rsid w:val="00C87529"/>
    <w:rsid w:val="00CD1F95"/>
    <w:rsid w:val="00D11088"/>
    <w:rsid w:val="00D20D06"/>
    <w:rsid w:val="00D30954"/>
    <w:rsid w:val="00D511CC"/>
    <w:rsid w:val="00D65C78"/>
    <w:rsid w:val="00D73F3B"/>
    <w:rsid w:val="00D84228"/>
    <w:rsid w:val="00DB69C8"/>
    <w:rsid w:val="00DB7F8A"/>
    <w:rsid w:val="00DE61A8"/>
    <w:rsid w:val="00E26E78"/>
    <w:rsid w:val="00E81BEA"/>
    <w:rsid w:val="00EE1430"/>
    <w:rsid w:val="00EF7A12"/>
    <w:rsid w:val="00F15475"/>
    <w:rsid w:val="00F67BC9"/>
    <w:rsid w:val="00F7683C"/>
    <w:rsid w:val="00FE3290"/>
    <w:rsid w:val="00FF3E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FA4A6E6"/>
  <w14:defaultImageDpi w14:val="0"/>
  <w15:docId w15:val="{7F246651-1306-4C82-B11D-65E6584B4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header" w:semiHidden="1"/>
    <w:lsdException w:name="footer" w:semiHidden="1"/>
    <w:lsdException w:name="caption" w:semiHidden="1" w:uiPriority="35" w:unhideWhenUsed="1" w:qFormat="1"/>
    <w:lsdException w:name="footnote reference" w:semiHidden="1"/>
    <w:lsdException w:name="page number" w:semiHidden="1"/>
    <w:lsdException w:name="List Number" w:semiHidden="1" w:unhideWhenUsed="1"/>
    <w:lsdException w:name="List 4" w:semiHidden="1" w:unhideWhenUsed="1"/>
    <w:lsdException w:name="List 5" w:semiHidden="1" w:unhideWhenUsed="1"/>
    <w:lsdException w:name="Title" w:qFormat="1"/>
    <w:lsdException w:name="Closing" w:semiHidden="1"/>
    <w:lsdException w:name="Signature" w:semiHidden="1"/>
    <w:lsdException w:name="Default Paragraph Font" w:semiHidden="1"/>
    <w:lsdException w:name="Body Text" w:semiHidden="1"/>
    <w:lsdException w:name="Subtitle" w:uiPriority="11" w:qFormat="1"/>
    <w:lsdException w:name="Salutation" w:semiHidden="1" w:unhideWhenUsed="1"/>
    <w:lsdException w:name="Date" w:semiHidden="1"/>
    <w:lsdException w:name="Body Text First Indent" w:semiHidden="1" w:unhideWhenUsed="1"/>
    <w:lsdException w:name="Body Text 2" w:semiHidden="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spacing w:after="0" w:line="240" w:lineRule="auto"/>
    </w:pPr>
    <w:rPr>
      <w:sz w:val="24"/>
      <w:szCs w:val="24"/>
    </w:rPr>
  </w:style>
  <w:style w:type="paragraph" w:styleId="Heading1">
    <w:name w:val="heading 1"/>
    <w:basedOn w:val="Normal"/>
    <w:next w:val="Normal"/>
    <w:link w:val="Heading1Char"/>
    <w:uiPriority w:val="99"/>
    <w:qFormat/>
    <w:pPr>
      <w:keepNext/>
      <w:widowControl/>
      <w:jc w:val="center"/>
      <w:outlineLvl w:val="0"/>
    </w:pPr>
    <w:rPr>
      <w:b/>
      <w:bCs/>
    </w:rPr>
  </w:style>
  <w:style w:type="paragraph" w:styleId="Heading2">
    <w:name w:val="heading 2"/>
    <w:basedOn w:val="Normal"/>
    <w:next w:val="Normal"/>
    <w:link w:val="Heading2Char"/>
    <w:uiPriority w:val="99"/>
    <w:qFormat/>
    <w:pPr>
      <w:keepNext/>
      <w:widowControl/>
      <w:jc w:val="center"/>
      <w:outlineLvl w:val="1"/>
    </w:pPr>
    <w:rPr>
      <w:b/>
      <w:bCs/>
      <w:sz w:val="28"/>
      <w:szCs w:val="28"/>
    </w:rPr>
  </w:style>
  <w:style w:type="paragraph" w:styleId="Heading3">
    <w:name w:val="heading 3"/>
    <w:basedOn w:val="Normal"/>
    <w:next w:val="Normal"/>
    <w:link w:val="Heading3Char"/>
    <w:uiPriority w:val="99"/>
    <w:qFormat/>
    <w:pPr>
      <w:keepNext/>
      <w:widowControl/>
      <w:outlineLvl w:val="2"/>
    </w:pPr>
    <w:rPr>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imes New Roman"/>
      <w:b/>
      <w:bCs/>
      <w:kern w:val="32"/>
      <w:sz w:val="32"/>
      <w:szCs w:val="32"/>
    </w:rPr>
  </w:style>
  <w:style w:type="character" w:customStyle="1" w:styleId="Heading2Char">
    <w:name w:val="Heading 2 Char"/>
    <w:basedOn w:val="DefaultParagraphFont"/>
    <w:link w:val="Heading2"/>
    <w:uiPriority w:val="9"/>
    <w:semiHidden/>
    <w:locked/>
    <w:rPr>
      <w:rFonts w:asciiTheme="majorHAnsi" w:eastAsiaTheme="majorEastAsia" w:hAnsiTheme="majorHAnsi" w:cs="Times New Roman"/>
      <w:b/>
      <w:bCs/>
      <w:i/>
      <w:iCs/>
      <w:sz w:val="28"/>
      <w:szCs w:val="28"/>
    </w:rPr>
  </w:style>
  <w:style w:type="character" w:customStyle="1" w:styleId="Heading3Char">
    <w:name w:val="Heading 3 Char"/>
    <w:basedOn w:val="DefaultParagraphFont"/>
    <w:link w:val="Heading3"/>
    <w:uiPriority w:val="9"/>
    <w:semiHidden/>
    <w:locked/>
    <w:rPr>
      <w:rFonts w:asciiTheme="majorHAnsi" w:eastAsiaTheme="majorEastAsia" w:hAnsiTheme="majorHAnsi" w:cs="Times New Roman"/>
      <w:b/>
      <w:bCs/>
      <w:sz w:val="26"/>
      <w:szCs w:val="26"/>
    </w:rPr>
  </w:style>
  <w:style w:type="character" w:styleId="FootnoteReference">
    <w:name w:val="footnote reference"/>
    <w:basedOn w:val="DefaultParagraphFont"/>
    <w:uiPriority w:val="99"/>
    <w:semiHidden/>
    <w:rPr>
      <w:rFonts w:cs="Times New Roman"/>
    </w:rPr>
  </w:style>
  <w:style w:type="paragraph" w:styleId="BodyText">
    <w:name w:val="Body Text"/>
    <w:basedOn w:val="Normal"/>
    <w:link w:val="BodyTextChar"/>
    <w:uiPriority w:val="99"/>
    <w:pPr>
      <w:spacing w:after="120"/>
    </w:pPr>
  </w:style>
  <w:style w:type="character" w:customStyle="1" w:styleId="BodyTextChar">
    <w:name w:val="Body Text Char"/>
    <w:basedOn w:val="DefaultParagraphFont"/>
    <w:link w:val="BodyText"/>
    <w:uiPriority w:val="99"/>
    <w:semiHidden/>
    <w:locked/>
    <w:rPr>
      <w:rFonts w:cs="Times New Roman"/>
      <w:sz w:val="24"/>
      <w:szCs w:val="24"/>
    </w:rPr>
  </w:style>
  <w:style w:type="paragraph" w:customStyle="1" w:styleId="ReferenceLine">
    <w:name w:val="Reference Line"/>
    <w:basedOn w:val="BodyText"/>
    <w:uiPriority w:val="99"/>
  </w:style>
  <w:style w:type="paragraph" w:styleId="Closing">
    <w:name w:val="Closing"/>
    <w:basedOn w:val="Normal"/>
    <w:link w:val="ClosingChar"/>
    <w:uiPriority w:val="99"/>
    <w:pPr>
      <w:ind w:left="4320"/>
    </w:pPr>
  </w:style>
  <w:style w:type="character" w:customStyle="1" w:styleId="ClosingChar">
    <w:name w:val="Closing Char"/>
    <w:basedOn w:val="DefaultParagraphFont"/>
    <w:link w:val="Closing"/>
    <w:uiPriority w:val="99"/>
    <w:semiHidden/>
    <w:locked/>
    <w:rPr>
      <w:rFonts w:cs="Times New Roman"/>
      <w:sz w:val="24"/>
      <w:szCs w:val="24"/>
    </w:rPr>
  </w:style>
  <w:style w:type="paragraph" w:styleId="Signature">
    <w:name w:val="Signature"/>
    <w:basedOn w:val="Normal"/>
    <w:link w:val="SignatureChar"/>
    <w:uiPriority w:val="99"/>
    <w:pPr>
      <w:ind w:left="4320"/>
    </w:pPr>
  </w:style>
  <w:style w:type="character" w:customStyle="1" w:styleId="SignatureChar">
    <w:name w:val="Signature Char"/>
    <w:basedOn w:val="DefaultParagraphFont"/>
    <w:link w:val="Signature"/>
    <w:uiPriority w:val="99"/>
    <w:semiHidden/>
    <w:locked/>
    <w:rPr>
      <w:rFonts w:cs="Times New Roman"/>
      <w:sz w:val="24"/>
      <w:szCs w:val="24"/>
    </w:rPr>
  </w:style>
  <w:style w:type="paragraph" w:customStyle="1" w:styleId="CcList">
    <w:name w:val="Cc List"/>
    <w:basedOn w:val="Normal"/>
    <w:uiPriority w:val="99"/>
  </w:style>
  <w:style w:type="paragraph" w:styleId="Date">
    <w:name w:val="Date"/>
    <w:basedOn w:val="Normal"/>
    <w:next w:val="Normal"/>
    <w:link w:val="DateChar"/>
    <w:uiPriority w:val="99"/>
    <w:pPr>
      <w:ind w:left="4320"/>
    </w:pPr>
  </w:style>
  <w:style w:type="character" w:customStyle="1" w:styleId="DateChar">
    <w:name w:val="Date Char"/>
    <w:basedOn w:val="DefaultParagraphFont"/>
    <w:link w:val="Date"/>
    <w:uiPriority w:val="99"/>
    <w:semiHidden/>
    <w:locked/>
    <w:rPr>
      <w:rFonts w:cs="Times New Roman"/>
      <w:sz w:val="24"/>
      <w:szCs w:val="24"/>
    </w:rPr>
  </w:style>
  <w:style w:type="paragraph" w:styleId="BodyText2">
    <w:name w:val="Body Text 2"/>
    <w:basedOn w:val="Normal"/>
    <w:link w:val="BodyText2Char"/>
    <w:uiPriority w:val="99"/>
    <w:pPr>
      <w:spacing w:line="240" w:lineRule="atLeast"/>
      <w:jc w:val="both"/>
    </w:pPr>
    <w:rPr>
      <w:rFonts w:ascii="Tms Rmn" w:hAnsi="Tms Rmn" w:cs="Tms Rmn"/>
      <w:color w:val="000000"/>
    </w:rPr>
  </w:style>
  <w:style w:type="character" w:customStyle="1" w:styleId="BodyText2Char">
    <w:name w:val="Body Text 2 Char"/>
    <w:basedOn w:val="DefaultParagraphFont"/>
    <w:link w:val="BodyText2"/>
    <w:uiPriority w:val="99"/>
    <w:semiHidden/>
    <w:locked/>
    <w:rPr>
      <w:rFonts w:cs="Times New Roman"/>
      <w:sz w:val="24"/>
      <w:szCs w:val="24"/>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semiHidden/>
    <w:locked/>
    <w:rPr>
      <w:rFonts w:cs="Times New Roman"/>
      <w:sz w:val="24"/>
      <w:szCs w:val="24"/>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semiHidden/>
    <w:locked/>
    <w:rPr>
      <w:rFonts w:cs="Times New Roman"/>
      <w:sz w:val="24"/>
      <w:szCs w:val="24"/>
    </w:rPr>
  </w:style>
  <w:style w:type="paragraph" w:styleId="Title">
    <w:name w:val="Title"/>
    <w:basedOn w:val="Normal"/>
    <w:link w:val="TitleChar"/>
    <w:uiPriority w:val="99"/>
    <w:qFormat/>
    <w:pPr>
      <w:widowControl/>
      <w:jc w:val="center"/>
    </w:pPr>
    <w:rPr>
      <w:b/>
      <w:bCs/>
    </w:rPr>
  </w:style>
  <w:style w:type="character" w:customStyle="1" w:styleId="TitleChar">
    <w:name w:val="Title Char"/>
    <w:basedOn w:val="DefaultParagraphFont"/>
    <w:link w:val="Title"/>
    <w:uiPriority w:val="99"/>
    <w:locked/>
    <w:rPr>
      <w:rFonts w:asciiTheme="majorHAnsi" w:eastAsiaTheme="majorEastAsia" w:hAnsiTheme="majorHAnsi" w:cs="Times New Roman"/>
      <w:b/>
      <w:bCs/>
      <w:kern w:val="28"/>
      <w:sz w:val="32"/>
      <w:szCs w:val="32"/>
    </w:rPr>
  </w:style>
  <w:style w:type="character" w:styleId="PageNumber">
    <w:name w:val="page number"/>
    <w:basedOn w:val="DefaultParagraphFont"/>
    <w:uiPriority w:val="99"/>
    <w:rPr>
      <w:rFonts w:cs="Times New Roman"/>
    </w:rPr>
  </w:style>
  <w:style w:type="paragraph" w:styleId="BalloonText">
    <w:name w:val="Balloon Text"/>
    <w:basedOn w:val="Normal"/>
    <w:link w:val="BalloonTextChar"/>
    <w:uiPriority w:val="99"/>
    <w:rsid w:val="00671D57"/>
    <w:rPr>
      <w:rFonts w:ascii="Segoe UI" w:hAnsi="Segoe UI" w:cs="Segoe UI"/>
      <w:sz w:val="18"/>
      <w:szCs w:val="18"/>
    </w:rPr>
  </w:style>
  <w:style w:type="character" w:customStyle="1" w:styleId="BalloonTextChar">
    <w:name w:val="Balloon Text Char"/>
    <w:basedOn w:val="DefaultParagraphFont"/>
    <w:link w:val="BalloonText"/>
    <w:uiPriority w:val="99"/>
    <w:locked/>
    <w:rsid w:val="00671D57"/>
    <w:rPr>
      <w:rFonts w:ascii="Segoe UI" w:hAnsi="Segoe UI" w:cs="Segoe UI"/>
      <w:sz w:val="18"/>
      <w:szCs w:val="18"/>
    </w:rPr>
  </w:style>
  <w:style w:type="table" w:styleId="TableGrid">
    <w:name w:val="Table Grid"/>
    <w:basedOn w:val="TableNormal"/>
    <w:uiPriority w:val="59"/>
    <w:rsid w:val="00D1108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14DB9"/>
    <w:pPr>
      <w:spacing w:after="0" w:line="240" w:lineRule="auto"/>
    </w:pPr>
    <w:rPr>
      <w:sz w:val="24"/>
      <w:szCs w:val="24"/>
    </w:rPr>
  </w:style>
  <w:style w:type="character" w:styleId="CommentReference">
    <w:name w:val="annotation reference"/>
    <w:basedOn w:val="DefaultParagraphFont"/>
    <w:uiPriority w:val="99"/>
    <w:rsid w:val="003D1D8F"/>
    <w:rPr>
      <w:sz w:val="16"/>
      <w:szCs w:val="16"/>
    </w:rPr>
  </w:style>
  <w:style w:type="paragraph" w:styleId="CommentText">
    <w:name w:val="annotation text"/>
    <w:basedOn w:val="Normal"/>
    <w:link w:val="CommentTextChar"/>
    <w:uiPriority w:val="99"/>
    <w:rsid w:val="003D1D8F"/>
    <w:rPr>
      <w:sz w:val="20"/>
      <w:szCs w:val="20"/>
    </w:rPr>
  </w:style>
  <w:style w:type="character" w:customStyle="1" w:styleId="CommentTextChar">
    <w:name w:val="Comment Text Char"/>
    <w:basedOn w:val="DefaultParagraphFont"/>
    <w:link w:val="CommentText"/>
    <w:uiPriority w:val="99"/>
    <w:rsid w:val="003D1D8F"/>
    <w:rPr>
      <w:sz w:val="20"/>
      <w:szCs w:val="20"/>
    </w:rPr>
  </w:style>
  <w:style w:type="paragraph" w:styleId="CommentSubject">
    <w:name w:val="annotation subject"/>
    <w:basedOn w:val="CommentText"/>
    <w:next w:val="CommentText"/>
    <w:link w:val="CommentSubjectChar"/>
    <w:uiPriority w:val="99"/>
    <w:rsid w:val="003D1D8F"/>
    <w:rPr>
      <w:b/>
      <w:bCs/>
    </w:rPr>
  </w:style>
  <w:style w:type="character" w:customStyle="1" w:styleId="CommentSubjectChar">
    <w:name w:val="Comment Subject Char"/>
    <w:basedOn w:val="CommentTextChar"/>
    <w:link w:val="CommentSubject"/>
    <w:uiPriority w:val="99"/>
    <w:rsid w:val="003D1D8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337199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E2B5BC-4D29-4253-9712-D12E57EE53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248</TotalTime>
  <Pages>3</Pages>
  <Words>927</Words>
  <Characters>5287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afgafgasdgfsd</vt:lpstr>
    </vt:vector>
  </TitlesOfParts>
  <Company>None</Company>
  <LinksUpToDate>false</LinksUpToDate>
  <CharactersWithSpaces>6202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afgafgasdgfsd</dc:title>
  <dc:subject/>
  <dc:creator>Bruce Ferguson</dc:creator>
  <cp:keywords/>
  <dc:description/>
  <cp:lastModifiedBy>Chappell Ford</cp:lastModifiedBy>
  <cp:revision>38</cp:revision>
  <cp:lastPrinted>2019-01-10T15:50:00Z</cp:lastPrinted>
  <dcterms:created xsi:type="dcterms:W3CDTF">2026-05-22T15:58:00Z</dcterms:created>
  <dcterms:modified xsi:type="dcterms:W3CDTF">2026-07-06T14:22:00Z</dcterms:modified>
</cp:coreProperties>
</file>