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CAD3" w14:textId="77777777" w:rsidR="005E1C12" w:rsidRDefault="005E1C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INFORMATION RELATIVE TO</w:t>
      </w:r>
      <w:r w:rsidR="00CC1957">
        <w:rPr>
          <w:b/>
          <w:bCs/>
          <w:sz w:val="32"/>
          <w:szCs w:val="32"/>
        </w:rPr>
        <w:t xml:space="preserve"> </w:t>
      </w:r>
    </w:p>
    <w:p w14:paraId="765AF696" w14:textId="77777777" w:rsidR="005E1C12" w:rsidRDefault="005E1C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DRAFT TITLE V OPERATING PERMIT</w:t>
      </w:r>
    </w:p>
    <w:p w14:paraId="1AB2D51A" w14:textId="194AFD59" w:rsidR="007E6D99" w:rsidRDefault="0093111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May 9, 2026</w:t>
      </w:r>
    </w:p>
    <w:p w14:paraId="59A5FC9E" w14:textId="77777777" w:rsidR="005E1C12" w:rsidRDefault="005E1C12">
      <w:pPr>
        <w:jc w:val="center"/>
        <w:rPr>
          <w:sz w:val="24"/>
          <w:szCs w:val="24"/>
        </w:rPr>
      </w:pPr>
    </w:p>
    <w:p w14:paraId="4FD91FC0" w14:textId="77777777" w:rsidR="005E1C12" w:rsidRPr="006A52EB" w:rsidRDefault="006A52EB" w:rsidP="006A52EB">
      <w:pPr>
        <w:rPr>
          <w:sz w:val="24"/>
          <w:szCs w:val="24"/>
          <w:u w:val="single"/>
        </w:rPr>
      </w:pPr>
      <w:r w:rsidRPr="006A52EB">
        <w:rPr>
          <w:sz w:val="24"/>
          <w:szCs w:val="24"/>
          <w:u w:val="single"/>
        </w:rPr>
        <w:t>GENER</w:t>
      </w:r>
      <w:r>
        <w:rPr>
          <w:sz w:val="24"/>
          <w:szCs w:val="24"/>
          <w:u w:val="single"/>
        </w:rPr>
        <w:t>AL FACILITY INFORMATION</w:t>
      </w:r>
    </w:p>
    <w:p w14:paraId="57A3E73C" w14:textId="77777777" w:rsidR="005E1C12" w:rsidRPr="006A52EB" w:rsidRDefault="006A52EB" w:rsidP="006A52EB">
      <w:pPr>
        <w:pStyle w:val="ReferenceLine"/>
        <w:widowControl/>
        <w:tabs>
          <w:tab w:val="left" w:pos="90"/>
        </w:tabs>
        <w:spacing w:after="0"/>
        <w:rPr>
          <w:bCs/>
        </w:rPr>
      </w:pPr>
      <w:r>
        <w:rPr>
          <w:b/>
          <w:bCs/>
        </w:rPr>
        <w:t xml:space="preserve">Facility Name:  </w:t>
      </w:r>
      <w:r w:rsidR="005E1C12" w:rsidRPr="006A52EB">
        <w:rPr>
          <w:bCs/>
        </w:rPr>
        <w:t>NSLC Southern Inc</w:t>
      </w:r>
    </w:p>
    <w:p w14:paraId="45EAC482" w14:textId="77777777" w:rsidR="006A52EB" w:rsidRDefault="006A52EB" w:rsidP="00681AD1">
      <w:pPr>
        <w:tabs>
          <w:tab w:val="left" w:pos="90"/>
        </w:tabs>
        <w:rPr>
          <w:bCs/>
          <w:snapToGrid w:val="0"/>
          <w:color w:val="000000"/>
          <w:sz w:val="24"/>
          <w:szCs w:val="24"/>
        </w:rPr>
      </w:pPr>
      <w:r w:rsidRPr="006A52EB">
        <w:rPr>
          <w:b/>
          <w:bCs/>
          <w:snapToGrid w:val="0"/>
          <w:color w:val="000000"/>
          <w:sz w:val="24"/>
          <w:szCs w:val="24"/>
        </w:rPr>
        <w:t>Facility Address:</w:t>
      </w:r>
      <w:r>
        <w:rPr>
          <w:bCs/>
          <w:snapToGrid w:val="0"/>
          <w:color w:val="000000"/>
          <w:sz w:val="24"/>
          <w:szCs w:val="24"/>
        </w:rPr>
        <w:t xml:space="preserve">  </w:t>
      </w:r>
    </w:p>
    <w:p w14:paraId="5A8195A7" w14:textId="77777777" w:rsidR="005E1C12" w:rsidRPr="00577CB8" w:rsidRDefault="005E1C12" w:rsidP="00681AD1">
      <w:pPr>
        <w:tabs>
          <w:tab w:val="left" w:pos="90"/>
        </w:tabs>
        <w:rPr>
          <w:bCs/>
          <w:snapToGrid w:val="0"/>
          <w:color w:val="000000"/>
          <w:sz w:val="24"/>
          <w:szCs w:val="24"/>
        </w:rPr>
      </w:pPr>
      <w:r w:rsidRPr="00577CB8">
        <w:rPr>
          <w:bCs/>
          <w:snapToGrid w:val="0"/>
          <w:color w:val="000000"/>
          <w:sz w:val="24"/>
          <w:szCs w:val="24"/>
        </w:rPr>
        <w:t xml:space="preserve">11167 Pattison </w:t>
      </w:r>
      <w:proofErr w:type="spellStart"/>
      <w:r w:rsidRPr="00577CB8">
        <w:rPr>
          <w:bCs/>
          <w:snapToGrid w:val="0"/>
          <w:color w:val="000000"/>
          <w:sz w:val="24"/>
          <w:szCs w:val="24"/>
        </w:rPr>
        <w:t>Hermanville</w:t>
      </w:r>
      <w:proofErr w:type="spellEnd"/>
      <w:r w:rsidRPr="00577CB8">
        <w:rPr>
          <w:bCs/>
          <w:snapToGrid w:val="0"/>
          <w:color w:val="000000"/>
          <w:sz w:val="24"/>
          <w:szCs w:val="24"/>
        </w:rPr>
        <w:t xml:space="preserve"> Road</w:t>
      </w:r>
    </w:p>
    <w:p w14:paraId="3CE1D2FF" w14:textId="77777777" w:rsidR="005E1C12" w:rsidRPr="00577CB8" w:rsidRDefault="005E1C12" w:rsidP="00681AD1">
      <w:pPr>
        <w:tabs>
          <w:tab w:val="left" w:pos="90"/>
        </w:tabs>
        <w:rPr>
          <w:bCs/>
          <w:color w:val="000000"/>
          <w:sz w:val="24"/>
          <w:szCs w:val="24"/>
        </w:rPr>
      </w:pPr>
      <w:proofErr w:type="spellStart"/>
      <w:r w:rsidRPr="00577CB8">
        <w:rPr>
          <w:bCs/>
          <w:color w:val="000000"/>
          <w:sz w:val="24"/>
          <w:szCs w:val="24"/>
        </w:rPr>
        <w:t>Hermanville</w:t>
      </w:r>
      <w:proofErr w:type="spellEnd"/>
      <w:r w:rsidRPr="00577CB8">
        <w:rPr>
          <w:bCs/>
          <w:color w:val="000000"/>
          <w:sz w:val="24"/>
          <w:szCs w:val="24"/>
        </w:rPr>
        <w:t xml:space="preserve">, MS 39086    </w:t>
      </w:r>
    </w:p>
    <w:p w14:paraId="3E686292" w14:textId="77777777" w:rsidR="00CC1957" w:rsidRDefault="006A52EB" w:rsidP="00681AD1">
      <w:pPr>
        <w:pStyle w:val="ReferenceLine"/>
        <w:widowControl/>
        <w:spacing w:after="0"/>
      </w:pPr>
      <w:r>
        <w:rPr>
          <w:b/>
        </w:rPr>
        <w:t xml:space="preserve">County: </w:t>
      </w:r>
      <w:r w:rsidR="00CC1957" w:rsidRPr="006A52EB">
        <w:t>Claiborne</w:t>
      </w:r>
    </w:p>
    <w:p w14:paraId="459A3E06" w14:textId="1057EE14" w:rsidR="00991620" w:rsidRPr="000C10C1" w:rsidRDefault="00991620" w:rsidP="00991620">
      <w:pPr>
        <w:pStyle w:val="ReferenceLine"/>
        <w:widowControl/>
        <w:spacing w:after="0"/>
        <w:rPr>
          <w:color w:val="FF0000"/>
        </w:rPr>
      </w:pPr>
      <w:r w:rsidRPr="00991620">
        <w:rPr>
          <w:b/>
        </w:rPr>
        <w:t xml:space="preserve">SIC Code(s): </w:t>
      </w:r>
      <w:r w:rsidR="005D7E4C">
        <w:t>2421</w:t>
      </w:r>
      <w:r w:rsidR="00931110">
        <w:t xml:space="preserve"> (Sawmills and Planing Mills, General)</w:t>
      </w:r>
    </w:p>
    <w:p w14:paraId="494A54DB" w14:textId="09138F70" w:rsidR="006A52EB" w:rsidRDefault="00991620" w:rsidP="00681AD1">
      <w:pPr>
        <w:pStyle w:val="ReferenceLine"/>
        <w:widowControl/>
        <w:spacing w:after="0"/>
        <w:rPr>
          <w:b/>
        </w:rPr>
      </w:pPr>
      <w:r w:rsidRPr="00991620">
        <w:rPr>
          <w:b/>
        </w:rPr>
        <w:t>NAICS Code(s):</w:t>
      </w:r>
      <w:r>
        <w:t xml:space="preserve"> </w:t>
      </w:r>
      <w:r w:rsidR="00B14D72">
        <w:t xml:space="preserve">321912  </w:t>
      </w:r>
      <w:r w:rsidR="00931110">
        <w:t>(Cut Stock, Resawing Lumber, and Planing)</w:t>
      </w:r>
    </w:p>
    <w:p w14:paraId="43A625E2" w14:textId="77777777" w:rsidR="00EA6AF2" w:rsidRDefault="00EA6AF2" w:rsidP="00681AD1">
      <w:pPr>
        <w:pStyle w:val="ReferenceLine"/>
        <w:widowControl/>
        <w:spacing w:after="0"/>
        <w:rPr>
          <w:u w:val="single"/>
        </w:rPr>
      </w:pPr>
    </w:p>
    <w:p w14:paraId="58081E26" w14:textId="77777777" w:rsidR="00681AD1" w:rsidRPr="00681AD1" w:rsidRDefault="00681AD1" w:rsidP="00681AD1">
      <w:pPr>
        <w:pStyle w:val="ReferenceLine"/>
        <w:widowControl/>
        <w:spacing w:after="0"/>
        <w:rPr>
          <w:u w:val="single"/>
        </w:rPr>
      </w:pPr>
      <w:r>
        <w:rPr>
          <w:u w:val="single"/>
        </w:rPr>
        <w:t xml:space="preserve">APPLICATION SUMMARY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8"/>
        <w:gridCol w:w="4518"/>
      </w:tblGrid>
      <w:tr w:rsidR="00EA6AF2" w14:paraId="20F7989F" w14:textId="77777777" w:rsidTr="00931110">
        <w:trPr>
          <w:trHeight w:val="2160"/>
        </w:trPr>
        <w:tc>
          <w:tcPr>
            <w:tcW w:w="5058" w:type="dxa"/>
          </w:tcPr>
          <w:p w14:paraId="4A7989D8" w14:textId="77777777" w:rsidR="00EA6AF2" w:rsidRPr="00931110" w:rsidRDefault="00EA6AF2" w:rsidP="000C10C1">
            <w:pPr>
              <w:pStyle w:val="ReferenceLine"/>
              <w:widowControl/>
              <w:spacing w:before="60" w:after="60"/>
              <w:ind w:right="168"/>
            </w:pPr>
            <w:r w:rsidRPr="00931110">
              <w:rPr>
                <w:b/>
              </w:rPr>
              <w:t xml:space="preserve">Permit No.: </w:t>
            </w:r>
            <w:r w:rsidRPr="00931110">
              <w:t>0420-00004</w:t>
            </w:r>
          </w:p>
          <w:p w14:paraId="33AA0ED8" w14:textId="6F447BDD" w:rsidR="00EA6AF2" w:rsidRPr="00931110" w:rsidRDefault="00EA6AF2" w:rsidP="00991620">
            <w:pPr>
              <w:pStyle w:val="ReferenceLine"/>
              <w:widowControl/>
              <w:spacing w:before="60" w:after="60"/>
              <w:ind w:right="168"/>
            </w:pPr>
            <w:r w:rsidRPr="00931110">
              <w:rPr>
                <w:b/>
              </w:rPr>
              <w:t xml:space="preserve">Permit Action:  </w:t>
            </w:r>
            <w:r w:rsidRPr="00931110">
              <w:t xml:space="preserve"> Renewal (</w:t>
            </w:r>
            <w:r w:rsidR="00931110" w:rsidRPr="00931110">
              <w:t>incorporation of construction permit requirements)</w:t>
            </w:r>
          </w:p>
          <w:p w14:paraId="1E08331C" w14:textId="77777777" w:rsidR="00EA6AF2" w:rsidRPr="00931110" w:rsidRDefault="00EA6AF2" w:rsidP="000C10C1">
            <w:pPr>
              <w:pStyle w:val="ReferenceLine"/>
              <w:widowControl/>
              <w:spacing w:before="60" w:after="60"/>
              <w:ind w:right="168"/>
            </w:pPr>
            <w:r w:rsidRPr="00931110">
              <w:rPr>
                <w:b/>
              </w:rPr>
              <w:t xml:space="preserve">Permit Folder: </w:t>
            </w:r>
            <w:r w:rsidRPr="00931110">
              <w:t>PER20240001</w:t>
            </w:r>
          </w:p>
          <w:p w14:paraId="3B9D8D51" w14:textId="13D4882F" w:rsidR="00EA6AF2" w:rsidRPr="00931110" w:rsidRDefault="00EA6AF2" w:rsidP="00CB37B4">
            <w:pPr>
              <w:pStyle w:val="ReferenceLine"/>
              <w:widowControl/>
              <w:spacing w:before="60" w:after="60"/>
              <w:ind w:right="168"/>
            </w:pPr>
            <w:r w:rsidRPr="00931110">
              <w:rPr>
                <w:b/>
              </w:rPr>
              <w:t xml:space="preserve">Application Receipt Date: </w:t>
            </w:r>
            <w:r w:rsidR="00931110" w:rsidRPr="00931110">
              <w:rPr>
                <w:bCs/>
                <w:szCs w:val="32"/>
              </w:rPr>
              <w:t>August 19, 2024</w:t>
            </w:r>
          </w:p>
          <w:p w14:paraId="26433598" w14:textId="6EDCF35E" w:rsidR="00EA6AF2" w:rsidRPr="00931110" w:rsidRDefault="00EA6AF2" w:rsidP="000C10C1">
            <w:pPr>
              <w:pStyle w:val="ReferenceLine"/>
              <w:widowControl/>
              <w:spacing w:before="60" w:after="60"/>
              <w:ind w:right="168"/>
            </w:pPr>
            <w:r w:rsidRPr="00931110">
              <w:rPr>
                <w:b/>
              </w:rPr>
              <w:t xml:space="preserve">Application Deemed Complete: </w:t>
            </w:r>
            <w:r w:rsidR="00931110" w:rsidRPr="00931110">
              <w:t>May 9, 2025</w:t>
            </w:r>
          </w:p>
          <w:p w14:paraId="7B6BC189" w14:textId="76C4B402" w:rsidR="00EA6AF2" w:rsidRPr="00931110" w:rsidRDefault="00EA6AF2" w:rsidP="000C10C1">
            <w:pPr>
              <w:pStyle w:val="ReferenceLine"/>
              <w:spacing w:before="60" w:after="60"/>
              <w:ind w:right="168"/>
            </w:pPr>
            <w:r w:rsidRPr="00931110">
              <w:rPr>
                <w:b/>
              </w:rPr>
              <w:t xml:space="preserve">CBI </w:t>
            </w:r>
            <w:proofErr w:type="gramStart"/>
            <w:r w:rsidRPr="00931110">
              <w:rPr>
                <w:b/>
              </w:rPr>
              <w:t>Submitted?:</w:t>
            </w:r>
            <w:proofErr w:type="gramEnd"/>
            <w:r w:rsidRPr="00931110">
              <w:rPr>
                <w:b/>
              </w:rPr>
              <w:t xml:space="preserve"> </w:t>
            </w:r>
            <w:r w:rsidRPr="00931110">
              <w:t>No</w:t>
            </w:r>
          </w:p>
        </w:tc>
        <w:tc>
          <w:tcPr>
            <w:tcW w:w="4518" w:type="dxa"/>
          </w:tcPr>
          <w:p w14:paraId="6FECA33F" w14:textId="6A225438" w:rsidR="00EA6AF2" w:rsidRPr="00931110" w:rsidRDefault="00EA6AF2" w:rsidP="00991620">
            <w:pPr>
              <w:pStyle w:val="ReferenceLine"/>
              <w:widowControl/>
              <w:spacing w:before="60" w:after="60"/>
            </w:pPr>
            <w:r w:rsidRPr="00931110">
              <w:rPr>
                <w:b/>
              </w:rPr>
              <w:t xml:space="preserve">NSPS (Part 60): </w:t>
            </w:r>
            <w:r w:rsidR="00931110" w:rsidRPr="00931110">
              <w:rPr>
                <w:bCs/>
              </w:rPr>
              <w:t>IIII, JJJJ</w:t>
            </w:r>
          </w:p>
          <w:p w14:paraId="643F991A" w14:textId="5D40AF45" w:rsidR="00EA6AF2" w:rsidRPr="00931110" w:rsidRDefault="00EA6AF2" w:rsidP="00991620">
            <w:pPr>
              <w:pStyle w:val="ReferenceLine"/>
              <w:widowControl/>
              <w:spacing w:before="60" w:after="60"/>
              <w:rPr>
                <w:b/>
              </w:rPr>
            </w:pPr>
            <w:r w:rsidRPr="00931110">
              <w:rPr>
                <w:b/>
              </w:rPr>
              <w:t xml:space="preserve">NESHAP (Part 61): </w:t>
            </w:r>
            <w:r w:rsidRPr="00931110">
              <w:t>N/A</w:t>
            </w:r>
          </w:p>
          <w:p w14:paraId="76E165F7" w14:textId="364B975F" w:rsidR="00EA6AF2" w:rsidRPr="00931110" w:rsidRDefault="00EA6AF2" w:rsidP="00991620">
            <w:pPr>
              <w:pStyle w:val="ReferenceLine"/>
              <w:widowControl/>
              <w:spacing w:before="60" w:after="60"/>
              <w:rPr>
                <w:b/>
              </w:rPr>
            </w:pPr>
            <w:r w:rsidRPr="00931110">
              <w:rPr>
                <w:b/>
              </w:rPr>
              <w:t xml:space="preserve">NESHAP (Part 63): </w:t>
            </w:r>
            <w:r w:rsidR="00931110" w:rsidRPr="00931110">
              <w:t>ZZZZ, CCCCCC</w:t>
            </w:r>
          </w:p>
          <w:p w14:paraId="4011A7AC" w14:textId="767DE8F2" w:rsidR="00EA6AF2" w:rsidRPr="00931110" w:rsidRDefault="00EA6AF2" w:rsidP="00991620">
            <w:pPr>
              <w:pStyle w:val="ReferenceLine"/>
              <w:widowControl/>
              <w:spacing w:before="60" w:after="60"/>
              <w:rPr>
                <w:b/>
              </w:rPr>
            </w:pPr>
            <w:r w:rsidRPr="00931110">
              <w:rPr>
                <w:b/>
              </w:rPr>
              <w:t xml:space="preserve">112(r) / RMP: </w:t>
            </w:r>
            <w:r w:rsidRPr="00931110">
              <w:t>N/A</w:t>
            </w:r>
          </w:p>
          <w:p w14:paraId="005A3D8A" w14:textId="49EF82B4" w:rsidR="00EA6AF2" w:rsidRPr="00931110" w:rsidRDefault="00EA6AF2" w:rsidP="000C10C1">
            <w:pPr>
              <w:pStyle w:val="ReferenceLine"/>
              <w:spacing w:before="60" w:after="60"/>
            </w:pPr>
            <w:r w:rsidRPr="00931110">
              <w:rPr>
                <w:b/>
              </w:rPr>
              <w:t xml:space="preserve">Other: </w:t>
            </w:r>
            <w:r w:rsidRPr="00931110">
              <w:t>N/A</w:t>
            </w:r>
          </w:p>
        </w:tc>
      </w:tr>
    </w:tbl>
    <w:p w14:paraId="55A6DC29" w14:textId="77777777" w:rsidR="00681AD1" w:rsidRDefault="00681AD1" w:rsidP="00681AD1">
      <w:pPr>
        <w:pStyle w:val="ReferenceLine"/>
        <w:widowControl/>
        <w:spacing w:after="0"/>
        <w:rPr>
          <w:b/>
        </w:rPr>
      </w:pPr>
    </w:p>
    <w:p w14:paraId="7D58F54C" w14:textId="77777777" w:rsidR="00531513" w:rsidRDefault="00531513" w:rsidP="00104CE2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FACILITY DESCRIPTION</w:t>
      </w:r>
    </w:p>
    <w:p w14:paraId="4B2F7914" w14:textId="368F448A" w:rsidR="00F47A0E" w:rsidRPr="00320AA1" w:rsidRDefault="00F47A0E" w:rsidP="00104CE2">
      <w:pPr>
        <w:jc w:val="both"/>
        <w:rPr>
          <w:sz w:val="24"/>
          <w:szCs w:val="24"/>
        </w:rPr>
      </w:pPr>
      <w:r w:rsidRPr="00320AA1">
        <w:rPr>
          <w:sz w:val="24"/>
          <w:szCs w:val="24"/>
        </w:rPr>
        <w:t>NSLC Southern, Inc. (NSLC) operates an existing sawmill that produces kiln-dried dimensional lumber from softwood timber.  The facility receives southern yellow pine logs that are bucked and debarked prior to being cut in the sawmill (Emission Point AA-016).  The dimensioned green lumber is then sorted and dried in the continuous direct-fired drying kiln equipped with a 40 MMBtu/</w:t>
      </w:r>
      <w:proofErr w:type="spellStart"/>
      <w:r w:rsidRPr="00320AA1">
        <w:rPr>
          <w:sz w:val="24"/>
          <w:szCs w:val="24"/>
        </w:rPr>
        <w:t>hr</w:t>
      </w:r>
      <w:proofErr w:type="spellEnd"/>
      <w:r w:rsidRPr="00320AA1">
        <w:rPr>
          <w:sz w:val="24"/>
          <w:szCs w:val="24"/>
        </w:rPr>
        <w:t xml:space="preserve"> green sawdust burner/gasification system (Emission Point AA-014).  The green sawdust is supplied by the fuel silo (Emission Point AA-015).  Dry lumber is sent to a planer mill (Emission Point AA-001) where it is </w:t>
      </w:r>
      <w:proofErr w:type="spellStart"/>
      <w:proofErr w:type="gramStart"/>
      <w:r w:rsidRPr="00320AA1">
        <w:rPr>
          <w:sz w:val="24"/>
          <w:szCs w:val="24"/>
        </w:rPr>
        <w:t>planed</w:t>
      </w:r>
      <w:proofErr w:type="spellEnd"/>
      <w:proofErr w:type="gramEnd"/>
      <w:r w:rsidRPr="00320AA1">
        <w:rPr>
          <w:sz w:val="24"/>
          <w:szCs w:val="24"/>
        </w:rPr>
        <w:t xml:space="preserve"> and trimmed prior to shipment off-site.</w:t>
      </w:r>
    </w:p>
    <w:p w14:paraId="442C7E65" w14:textId="4AB434C9" w:rsidR="00F47A0E" w:rsidRPr="00320AA1" w:rsidRDefault="00F47A0E" w:rsidP="00104CE2">
      <w:pPr>
        <w:jc w:val="both"/>
        <w:rPr>
          <w:sz w:val="24"/>
          <w:szCs w:val="24"/>
        </w:rPr>
      </w:pPr>
    </w:p>
    <w:p w14:paraId="35506777" w14:textId="051D5F62" w:rsidR="00F47A0E" w:rsidRPr="00320AA1" w:rsidRDefault="00F47A0E" w:rsidP="00104CE2">
      <w:pPr>
        <w:jc w:val="both"/>
        <w:rPr>
          <w:sz w:val="24"/>
          <w:szCs w:val="24"/>
        </w:rPr>
      </w:pPr>
      <w:r w:rsidRPr="00320AA1">
        <w:rPr>
          <w:sz w:val="24"/>
          <w:szCs w:val="24"/>
        </w:rPr>
        <w:t>The facility operates under Title V Operating Permit No. 0420-0004.  Since the last reissuance of the Title V Operating Permit, a Permit to Construct for the facility was issued on October 3, 2023.  This permitting action included the installation of the kiln (Emission Point AA-016) and removal of equipment it replaced (various boilers and drying kilns, specifically Emission Points AA-003, AA-004, AA-005, AA-006, AA-007, and AA-008).  The Permit to Construct proposed throughput limits on dried lumber</w:t>
      </w:r>
      <w:r w:rsidR="00D67C69" w:rsidRPr="00320AA1">
        <w:rPr>
          <w:sz w:val="24"/>
          <w:szCs w:val="24"/>
        </w:rPr>
        <w:t xml:space="preserve"> to remain below PSD thresholds.  The permit also established major source avoidance limits for hazardous air pollutants (HAP)</w:t>
      </w:r>
      <w:r w:rsidR="000146BF" w:rsidRPr="00320AA1">
        <w:rPr>
          <w:sz w:val="24"/>
          <w:szCs w:val="24"/>
        </w:rPr>
        <w:t xml:space="preserve">.  </w:t>
      </w:r>
      <w:r w:rsidR="00772C15" w:rsidRPr="00320AA1">
        <w:rPr>
          <w:sz w:val="24"/>
          <w:szCs w:val="24"/>
        </w:rPr>
        <w:t xml:space="preserve">The Permit to Construct rationale document referenced removing the PM limitation on the existing Planer Mill Cyclone; however, </w:t>
      </w:r>
      <w:r w:rsidR="00721DCC" w:rsidRPr="00320AA1">
        <w:rPr>
          <w:sz w:val="24"/>
          <w:szCs w:val="24"/>
        </w:rPr>
        <w:t>Section B of the</w:t>
      </w:r>
      <w:r w:rsidR="00772C15" w:rsidRPr="00320AA1">
        <w:rPr>
          <w:sz w:val="24"/>
          <w:szCs w:val="24"/>
        </w:rPr>
        <w:t xml:space="preserve"> permit application submitted to MDEQ utilize</w:t>
      </w:r>
      <w:r w:rsidR="00721DCC" w:rsidRPr="00320AA1">
        <w:rPr>
          <w:sz w:val="24"/>
          <w:szCs w:val="24"/>
        </w:rPr>
        <w:t>s</w:t>
      </w:r>
      <w:r w:rsidR="00772C15" w:rsidRPr="00320AA1">
        <w:rPr>
          <w:sz w:val="24"/>
          <w:szCs w:val="24"/>
        </w:rPr>
        <w:t xml:space="preserve"> this emission rate as </w:t>
      </w:r>
      <w:r w:rsidR="00721DCC" w:rsidRPr="00320AA1">
        <w:rPr>
          <w:sz w:val="24"/>
          <w:szCs w:val="24"/>
        </w:rPr>
        <w:t>the “Proposed Allowable.”  As currently drafted, this emission limit and related testing</w:t>
      </w:r>
      <w:r w:rsidR="00B80DF5" w:rsidRPr="00320AA1">
        <w:rPr>
          <w:sz w:val="24"/>
          <w:szCs w:val="24"/>
        </w:rPr>
        <w:t xml:space="preserve"> remain in the permit.</w:t>
      </w:r>
    </w:p>
    <w:p w14:paraId="70FDF924" w14:textId="77777777" w:rsidR="00531513" w:rsidRDefault="00531513" w:rsidP="00104CE2">
      <w:pPr>
        <w:jc w:val="both"/>
        <w:rPr>
          <w:sz w:val="24"/>
          <w:szCs w:val="24"/>
        </w:rPr>
      </w:pPr>
    </w:p>
    <w:p w14:paraId="5A4BBDBB" w14:textId="77777777" w:rsidR="00531513" w:rsidRDefault="00531513" w:rsidP="00104CE2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TITLE V </w:t>
      </w:r>
      <w:r w:rsidR="00BA3BCF">
        <w:rPr>
          <w:sz w:val="24"/>
          <w:szCs w:val="24"/>
          <w:u w:val="single"/>
        </w:rPr>
        <w:t>SOURCE</w:t>
      </w:r>
      <w:r>
        <w:rPr>
          <w:sz w:val="24"/>
          <w:szCs w:val="24"/>
          <w:u w:val="single"/>
        </w:rPr>
        <w:t xml:space="preserve"> APPLICABILITY </w:t>
      </w:r>
    </w:p>
    <w:p w14:paraId="607C3ECD" w14:textId="5FF8BD58" w:rsidR="00531513" w:rsidRDefault="00E60EA3" w:rsidP="00066F70">
      <w:pPr>
        <w:jc w:val="both"/>
        <w:rPr>
          <w:color w:val="4F81BD" w:themeColor="accent1"/>
          <w:sz w:val="24"/>
          <w:szCs w:val="24"/>
        </w:rPr>
      </w:pPr>
      <w:r w:rsidRPr="00E60EA3">
        <w:rPr>
          <w:sz w:val="24"/>
          <w:szCs w:val="24"/>
        </w:rPr>
        <w:lastRenderedPageBreak/>
        <w:t xml:space="preserve">The facility’s potential-to-emit </w:t>
      </w:r>
      <w:r w:rsidR="003A4126">
        <w:rPr>
          <w:sz w:val="24"/>
          <w:szCs w:val="24"/>
        </w:rPr>
        <w:t xml:space="preserve">(PTE) </w:t>
      </w:r>
      <w:r w:rsidRPr="00E60EA3">
        <w:rPr>
          <w:sz w:val="24"/>
          <w:szCs w:val="24"/>
        </w:rPr>
        <w:t xml:space="preserve">exceeds the Title V </w:t>
      </w:r>
      <w:r>
        <w:rPr>
          <w:sz w:val="24"/>
          <w:szCs w:val="24"/>
        </w:rPr>
        <w:t>major source threshold</w:t>
      </w:r>
      <w:r w:rsidRPr="00E60EA3">
        <w:rPr>
          <w:sz w:val="24"/>
          <w:szCs w:val="24"/>
        </w:rPr>
        <w:t xml:space="preserve"> of 100 tons</w:t>
      </w:r>
      <w:r w:rsidR="00FD3166">
        <w:rPr>
          <w:sz w:val="24"/>
          <w:szCs w:val="24"/>
        </w:rPr>
        <w:t xml:space="preserve"> per </w:t>
      </w:r>
      <w:r w:rsidRPr="00E60EA3">
        <w:rPr>
          <w:sz w:val="24"/>
          <w:szCs w:val="24"/>
        </w:rPr>
        <w:t xml:space="preserve">year </w:t>
      </w:r>
      <w:r w:rsidR="00FD3166">
        <w:rPr>
          <w:sz w:val="24"/>
          <w:szCs w:val="24"/>
        </w:rPr>
        <w:t xml:space="preserve">(tpy) </w:t>
      </w:r>
      <w:r>
        <w:rPr>
          <w:sz w:val="24"/>
          <w:szCs w:val="24"/>
        </w:rPr>
        <w:t>for</w:t>
      </w:r>
      <w:r w:rsidRPr="00E60EA3">
        <w:rPr>
          <w:sz w:val="24"/>
          <w:szCs w:val="24"/>
        </w:rPr>
        <w:t xml:space="preserve"> each of the following criteria air </w:t>
      </w:r>
      <w:r w:rsidRPr="00320AA1">
        <w:rPr>
          <w:sz w:val="24"/>
          <w:szCs w:val="24"/>
        </w:rPr>
        <w:t>pollutants: Volatile Organic Compounds (VOC).  The facility’s potential</w:t>
      </w:r>
      <w:r w:rsidR="00FD3166" w:rsidRPr="00320AA1">
        <w:rPr>
          <w:sz w:val="24"/>
          <w:szCs w:val="24"/>
        </w:rPr>
        <w:t>-to-emit hazardous a</w:t>
      </w:r>
      <w:r w:rsidRPr="00320AA1">
        <w:rPr>
          <w:sz w:val="24"/>
          <w:szCs w:val="24"/>
        </w:rPr>
        <w:t xml:space="preserve">ir </w:t>
      </w:r>
      <w:r w:rsidR="00FD3166" w:rsidRPr="00320AA1">
        <w:rPr>
          <w:sz w:val="24"/>
          <w:szCs w:val="24"/>
        </w:rPr>
        <w:t>p</w:t>
      </w:r>
      <w:r w:rsidRPr="00320AA1">
        <w:rPr>
          <w:sz w:val="24"/>
          <w:szCs w:val="24"/>
        </w:rPr>
        <w:t xml:space="preserve">ollutants (HAPs) exceeds </w:t>
      </w:r>
      <w:r w:rsidR="00FD3166" w:rsidRPr="00320AA1">
        <w:rPr>
          <w:sz w:val="24"/>
          <w:szCs w:val="24"/>
        </w:rPr>
        <w:t xml:space="preserve">the Title V major source thresholds of 25 tpy of total HAPs and 10 tpy for the following individual HAPs – </w:t>
      </w:r>
      <w:r w:rsidR="00FD24FC" w:rsidRPr="00320AA1">
        <w:rPr>
          <w:sz w:val="24"/>
          <w:szCs w:val="24"/>
        </w:rPr>
        <w:t>Methanol</w:t>
      </w:r>
      <w:r w:rsidR="00066F70" w:rsidRPr="00320AA1">
        <w:rPr>
          <w:sz w:val="24"/>
          <w:szCs w:val="24"/>
        </w:rPr>
        <w:t>. However, the facility has taken a limit to avoid major source HAP status.</w:t>
      </w:r>
    </w:p>
    <w:p w14:paraId="19823589" w14:textId="77777777" w:rsidR="009733EB" w:rsidRDefault="009733EB" w:rsidP="00104CE2">
      <w:pPr>
        <w:jc w:val="both"/>
        <w:rPr>
          <w:color w:val="4F81BD" w:themeColor="accent1"/>
          <w:sz w:val="24"/>
          <w:szCs w:val="24"/>
        </w:rPr>
      </w:pPr>
    </w:p>
    <w:p w14:paraId="334C944C" w14:textId="77777777" w:rsidR="009733EB" w:rsidRPr="006A52EB" w:rsidRDefault="009733EB" w:rsidP="00577CB8">
      <w:pPr>
        <w:keepNext/>
        <w:jc w:val="both"/>
        <w:rPr>
          <w:b/>
          <w:sz w:val="24"/>
          <w:szCs w:val="24"/>
          <w:vertAlign w:val="superscript"/>
        </w:rPr>
      </w:pPr>
      <w:r>
        <w:rPr>
          <w:b/>
          <w:sz w:val="24"/>
          <w:szCs w:val="24"/>
        </w:rPr>
        <w:t>Facility-Wide Potential-to-Emit</w:t>
      </w:r>
      <w:r w:rsidR="00991620">
        <w:rPr>
          <w:b/>
          <w:sz w:val="24"/>
          <w:szCs w:val="24"/>
        </w:rPr>
        <w:t xml:space="preserve"> Summary</w:t>
      </w:r>
      <w:r w:rsidR="00ED2C87">
        <w:rPr>
          <w:b/>
          <w:sz w:val="24"/>
          <w:szCs w:val="24"/>
          <w:vertAlign w:val="superscript"/>
        </w:rPr>
        <w:t>1</w:t>
      </w: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160"/>
      </w:tblGrid>
      <w:tr w:rsidR="009733EB" w14:paraId="26D12495" w14:textId="77777777" w:rsidTr="00991620">
        <w:trPr>
          <w:tblHeader/>
        </w:trPr>
        <w:tc>
          <w:tcPr>
            <w:tcW w:w="3078" w:type="dxa"/>
            <w:tcBorders>
              <w:top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BE2050C" w14:textId="77777777" w:rsidR="009733EB" w:rsidRPr="006A52EB" w:rsidRDefault="009733EB" w:rsidP="00577CB8">
            <w:pPr>
              <w:keepNext/>
              <w:spacing w:before="60" w:after="60"/>
              <w:rPr>
                <w:sz w:val="24"/>
                <w:szCs w:val="24"/>
              </w:rPr>
            </w:pPr>
            <w:r w:rsidRPr="006A52EB">
              <w:rPr>
                <w:sz w:val="24"/>
                <w:szCs w:val="24"/>
              </w:rPr>
              <w:t>Pollutant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8E8643E" w14:textId="77777777" w:rsidR="009733EB" w:rsidRPr="006A52EB" w:rsidRDefault="009733EB" w:rsidP="00577CB8">
            <w:pPr>
              <w:keepNext/>
              <w:spacing w:before="60" w:after="60"/>
              <w:jc w:val="center"/>
              <w:rPr>
                <w:sz w:val="24"/>
                <w:szCs w:val="24"/>
              </w:rPr>
            </w:pPr>
            <w:r w:rsidRPr="006A52EB">
              <w:rPr>
                <w:sz w:val="24"/>
                <w:szCs w:val="24"/>
              </w:rPr>
              <w:t>PTE Emissions</w:t>
            </w:r>
          </w:p>
          <w:p w14:paraId="165A71EC" w14:textId="77777777" w:rsidR="009733EB" w:rsidRPr="006A52EB" w:rsidRDefault="009733EB" w:rsidP="00577CB8">
            <w:pPr>
              <w:keepNext/>
              <w:spacing w:before="60" w:after="60"/>
              <w:jc w:val="center"/>
              <w:rPr>
                <w:sz w:val="24"/>
                <w:szCs w:val="24"/>
              </w:rPr>
            </w:pPr>
            <w:r w:rsidRPr="006A52EB">
              <w:rPr>
                <w:sz w:val="24"/>
                <w:szCs w:val="24"/>
              </w:rPr>
              <w:t>(tons/yr)</w:t>
            </w:r>
          </w:p>
        </w:tc>
      </w:tr>
      <w:tr w:rsidR="009733EB" w14:paraId="7EB5A3E3" w14:textId="77777777" w:rsidTr="006A52EB">
        <w:tc>
          <w:tcPr>
            <w:tcW w:w="3078" w:type="dxa"/>
          </w:tcPr>
          <w:p w14:paraId="4075244C" w14:textId="77777777" w:rsidR="009733EB" w:rsidRPr="006A52EB" w:rsidRDefault="009733EB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Particulate Matter</w:t>
            </w:r>
            <w:r w:rsidR="00D90F67">
              <w:rPr>
                <w:sz w:val="24"/>
                <w:szCs w:val="24"/>
              </w:rPr>
              <w:t xml:space="preserve"> (TSP)</w:t>
            </w:r>
          </w:p>
        </w:tc>
        <w:tc>
          <w:tcPr>
            <w:tcW w:w="2160" w:type="dxa"/>
          </w:tcPr>
          <w:p w14:paraId="68FE4BFA" w14:textId="274B66D1" w:rsidR="009733EB" w:rsidRPr="006A52EB" w:rsidRDefault="00860EA1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47.56</w:t>
            </w:r>
          </w:p>
        </w:tc>
      </w:tr>
      <w:tr w:rsidR="009733EB" w14:paraId="76BCA8A5" w14:textId="77777777" w:rsidTr="006A52EB">
        <w:tc>
          <w:tcPr>
            <w:tcW w:w="3078" w:type="dxa"/>
          </w:tcPr>
          <w:p w14:paraId="195D3527" w14:textId="77777777" w:rsidR="009733EB" w:rsidRPr="006A52EB" w:rsidRDefault="009733EB" w:rsidP="006A52EB">
            <w:pPr>
              <w:spacing w:before="60" w:after="60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PM</w:t>
            </w:r>
            <w:r>
              <w:rPr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2160" w:type="dxa"/>
          </w:tcPr>
          <w:p w14:paraId="27CCCC0C" w14:textId="34AB7B1D" w:rsidR="009733EB" w:rsidRPr="006A52EB" w:rsidRDefault="00860EA1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44.31</w:t>
            </w:r>
          </w:p>
        </w:tc>
      </w:tr>
      <w:tr w:rsidR="009733EB" w14:paraId="2EF9E953" w14:textId="77777777" w:rsidTr="006A52EB">
        <w:tc>
          <w:tcPr>
            <w:tcW w:w="3078" w:type="dxa"/>
          </w:tcPr>
          <w:p w14:paraId="3E9EBC4D" w14:textId="77777777" w:rsidR="009733EB" w:rsidRPr="006A52EB" w:rsidRDefault="009733EB" w:rsidP="006A52EB">
            <w:pPr>
              <w:spacing w:before="60" w:after="60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PM</w:t>
            </w:r>
            <w:r>
              <w:rPr>
                <w:sz w:val="24"/>
                <w:szCs w:val="24"/>
                <w:vertAlign w:val="subscript"/>
              </w:rPr>
              <w:t>2.5</w:t>
            </w:r>
          </w:p>
        </w:tc>
        <w:tc>
          <w:tcPr>
            <w:tcW w:w="2160" w:type="dxa"/>
          </w:tcPr>
          <w:p w14:paraId="6AAAA146" w14:textId="01868327" w:rsidR="009733EB" w:rsidRPr="006A52EB" w:rsidRDefault="00860EA1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14.81</w:t>
            </w:r>
          </w:p>
        </w:tc>
      </w:tr>
      <w:tr w:rsidR="009733EB" w14:paraId="3E8751ED" w14:textId="77777777" w:rsidTr="006A52EB">
        <w:tc>
          <w:tcPr>
            <w:tcW w:w="3078" w:type="dxa"/>
          </w:tcPr>
          <w:p w14:paraId="4478E866" w14:textId="77777777" w:rsidR="009733EB" w:rsidRPr="006A52EB" w:rsidRDefault="00D90F67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Sulfur Dioxide (SO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14:paraId="6D786353" w14:textId="6F9C060D" w:rsidR="009733EB" w:rsidRPr="006A52EB" w:rsidRDefault="00860EA1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4.35</w:t>
            </w:r>
          </w:p>
        </w:tc>
      </w:tr>
      <w:tr w:rsidR="009733EB" w14:paraId="0A972848" w14:textId="77777777" w:rsidTr="006A52EB">
        <w:tc>
          <w:tcPr>
            <w:tcW w:w="3078" w:type="dxa"/>
          </w:tcPr>
          <w:p w14:paraId="685EC4CA" w14:textId="77777777" w:rsidR="009733EB" w:rsidRPr="006A52EB" w:rsidRDefault="00D90F67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Nitrogen Oxides (NO</w:t>
            </w:r>
            <w:r>
              <w:rPr>
                <w:sz w:val="24"/>
                <w:szCs w:val="24"/>
                <w:vertAlign w:val="subscript"/>
              </w:rPr>
              <w:t>x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60" w:type="dxa"/>
          </w:tcPr>
          <w:p w14:paraId="16B07578" w14:textId="72105C2C" w:rsidR="009733EB" w:rsidRPr="006A52EB" w:rsidRDefault="008D76D9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8.68</w:t>
            </w:r>
          </w:p>
        </w:tc>
      </w:tr>
      <w:tr w:rsidR="009733EB" w14:paraId="4884A6DD" w14:textId="77777777" w:rsidTr="006A52EB">
        <w:tc>
          <w:tcPr>
            <w:tcW w:w="3078" w:type="dxa"/>
          </w:tcPr>
          <w:p w14:paraId="63F101A9" w14:textId="77777777" w:rsidR="009733EB" w:rsidRPr="006A52EB" w:rsidRDefault="00D90F67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Carbon Monoxide (CO)</w:t>
            </w:r>
          </w:p>
        </w:tc>
        <w:tc>
          <w:tcPr>
            <w:tcW w:w="2160" w:type="dxa"/>
          </w:tcPr>
          <w:p w14:paraId="2FD99061" w14:textId="7D6122C2" w:rsidR="009733EB" w:rsidRPr="006A52EB" w:rsidRDefault="008D76D9" w:rsidP="006A52EB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57.06</w:t>
            </w:r>
          </w:p>
        </w:tc>
      </w:tr>
      <w:tr w:rsidR="00D90F67" w14:paraId="5C9149F0" w14:textId="77777777" w:rsidTr="006A52EB">
        <w:tc>
          <w:tcPr>
            <w:tcW w:w="3078" w:type="dxa"/>
          </w:tcPr>
          <w:p w14:paraId="24024D05" w14:textId="77777777" w:rsidR="00D90F67" w:rsidRDefault="00D90F67" w:rsidP="00D90F67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Volatile Organic Compounds (VOC)</w:t>
            </w:r>
          </w:p>
        </w:tc>
        <w:tc>
          <w:tcPr>
            <w:tcW w:w="2160" w:type="dxa"/>
          </w:tcPr>
          <w:p w14:paraId="07517F67" w14:textId="0425A6B8" w:rsidR="00D90F67" w:rsidRPr="006A52EB" w:rsidRDefault="008D76D9" w:rsidP="00D90F67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  <w:r w:rsidR="001B7CEC">
              <w:rPr>
                <w:sz w:val="24"/>
                <w:szCs w:val="24"/>
              </w:rPr>
              <w:t>.</w:t>
            </w:r>
            <w:r w:rsidR="004E2A6B">
              <w:rPr>
                <w:sz w:val="24"/>
                <w:szCs w:val="24"/>
              </w:rPr>
              <w:t>8</w:t>
            </w:r>
          </w:p>
        </w:tc>
      </w:tr>
      <w:tr w:rsidR="00280FAA" w14:paraId="3BC36827" w14:textId="77777777" w:rsidTr="001A3274">
        <w:tc>
          <w:tcPr>
            <w:tcW w:w="3078" w:type="dxa"/>
          </w:tcPr>
          <w:p w14:paraId="3315E74F" w14:textId="77777777" w:rsidR="00280FAA" w:rsidRDefault="00280FAA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HAP </w:t>
            </w:r>
          </w:p>
        </w:tc>
        <w:tc>
          <w:tcPr>
            <w:tcW w:w="2160" w:type="dxa"/>
          </w:tcPr>
          <w:p w14:paraId="6A578CDA" w14:textId="1BDB83B5" w:rsidR="00280FAA" w:rsidRPr="006A52EB" w:rsidRDefault="004E2A6B" w:rsidP="00D90F67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24.9</w:t>
            </w:r>
            <w:r w:rsidR="001A3274">
              <w:rPr>
                <w:sz w:val="24"/>
                <w:szCs w:val="24"/>
              </w:rPr>
              <w:t>0</w:t>
            </w:r>
          </w:p>
        </w:tc>
      </w:tr>
      <w:tr w:rsidR="001A3274" w14:paraId="4DB962FE" w14:textId="77777777" w:rsidTr="00DD48FE">
        <w:tc>
          <w:tcPr>
            <w:tcW w:w="3078" w:type="dxa"/>
          </w:tcPr>
          <w:p w14:paraId="1FCF08BA" w14:textId="307F02FE" w:rsidR="001A3274" w:rsidRDefault="001A3274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HAP</w:t>
            </w:r>
          </w:p>
        </w:tc>
        <w:tc>
          <w:tcPr>
            <w:tcW w:w="2160" w:type="dxa"/>
          </w:tcPr>
          <w:p w14:paraId="648E9A11" w14:textId="44D0DDD8" w:rsidR="001A3274" w:rsidRDefault="001A3274" w:rsidP="00D90F67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9.90</w:t>
            </w:r>
          </w:p>
        </w:tc>
      </w:tr>
      <w:tr w:rsidR="00DD48FE" w14:paraId="018891E4" w14:textId="77777777" w:rsidTr="00991620">
        <w:tc>
          <w:tcPr>
            <w:tcW w:w="3078" w:type="dxa"/>
            <w:tcBorders>
              <w:bottom w:val="double" w:sz="4" w:space="0" w:color="auto"/>
            </w:tcBorders>
          </w:tcPr>
          <w:p w14:paraId="11CA81C7" w14:textId="60A70AFD" w:rsidR="00DD48FE" w:rsidRDefault="00DD48FE" w:rsidP="006A52E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Methanol</w:t>
            </w:r>
          </w:p>
        </w:tc>
        <w:tc>
          <w:tcPr>
            <w:tcW w:w="2160" w:type="dxa"/>
            <w:tcBorders>
              <w:bottom w:val="double" w:sz="4" w:space="0" w:color="auto"/>
            </w:tcBorders>
          </w:tcPr>
          <w:p w14:paraId="20E16265" w14:textId="0A38A1E0" w:rsidR="00DD48FE" w:rsidRDefault="00DD48FE" w:rsidP="00D90F67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9.90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</w:tbl>
    <w:p w14:paraId="527F7BA8" w14:textId="77777777" w:rsidR="009733EB" w:rsidRDefault="00ED2C87" w:rsidP="00104CE2">
      <w:pPr>
        <w:jc w:val="both"/>
        <w:rPr>
          <w:szCs w:val="24"/>
        </w:rPr>
      </w:pPr>
      <w:r w:rsidRPr="006A52EB">
        <w:rPr>
          <w:szCs w:val="24"/>
          <w:vertAlign w:val="superscript"/>
        </w:rPr>
        <w:t>1</w:t>
      </w:r>
      <w:r w:rsidRPr="006A52EB">
        <w:rPr>
          <w:szCs w:val="24"/>
        </w:rPr>
        <w:t xml:space="preserve"> The PTE emissions reflect any emission limits or enforceable restrictions included in the proposed permit.</w:t>
      </w:r>
    </w:p>
    <w:p w14:paraId="4C848415" w14:textId="298BCDE2" w:rsidR="00DD48FE" w:rsidRPr="006A52EB" w:rsidRDefault="00491802" w:rsidP="00104CE2">
      <w:pPr>
        <w:jc w:val="both"/>
        <w:rPr>
          <w:szCs w:val="24"/>
        </w:rPr>
      </w:pPr>
      <w:r w:rsidRPr="00491802">
        <w:rPr>
          <w:szCs w:val="24"/>
          <w:vertAlign w:val="superscript"/>
        </w:rPr>
        <w:t>2</w:t>
      </w:r>
      <w:r>
        <w:rPr>
          <w:szCs w:val="24"/>
        </w:rPr>
        <w:t>Established through emission factor and throughput limit.</w:t>
      </w:r>
    </w:p>
    <w:p w14:paraId="7FB7AD8D" w14:textId="77777777" w:rsidR="00BA3BCF" w:rsidRDefault="00BA3BCF" w:rsidP="00104CE2">
      <w:pPr>
        <w:jc w:val="both"/>
        <w:rPr>
          <w:sz w:val="24"/>
          <w:szCs w:val="24"/>
        </w:rPr>
      </w:pPr>
    </w:p>
    <w:p w14:paraId="4489EC0A" w14:textId="77777777" w:rsidR="00BA3BCF" w:rsidRDefault="00BA3BCF" w:rsidP="00BA3BCF">
      <w:pPr>
        <w:jc w:val="both"/>
        <w:rPr>
          <w:sz w:val="24"/>
          <w:szCs w:val="24"/>
          <w:u w:val="single"/>
        </w:rPr>
      </w:pPr>
      <w:r w:rsidRPr="00AD7559">
        <w:rPr>
          <w:sz w:val="24"/>
          <w:szCs w:val="24"/>
          <w:u w:val="single"/>
        </w:rPr>
        <w:t>PREVENTION OF SIGNIFICANT DETERIORATION (PSD) APPLICABILITY</w:t>
      </w:r>
    </w:p>
    <w:p w14:paraId="7A31122C" w14:textId="556E5046" w:rsidR="00BA3BCF" w:rsidRPr="00320AA1" w:rsidRDefault="00BA3BCF" w:rsidP="00BA3BCF">
      <w:pPr>
        <w:jc w:val="both"/>
        <w:rPr>
          <w:sz w:val="24"/>
          <w:szCs w:val="24"/>
        </w:rPr>
      </w:pPr>
      <w:r w:rsidRPr="00320AA1">
        <w:rPr>
          <w:sz w:val="24"/>
          <w:szCs w:val="24"/>
        </w:rPr>
        <w:t>The facility is not one of the 28 categorical facilities listed i</w:t>
      </w:r>
      <w:r w:rsidR="00EA6AF2" w:rsidRPr="00320AA1">
        <w:rPr>
          <w:sz w:val="24"/>
          <w:szCs w:val="24"/>
        </w:rPr>
        <w:t>n 40 CFR 52.21(b)(1)(</w:t>
      </w:r>
      <w:proofErr w:type="spellStart"/>
      <w:r w:rsidR="00EA6AF2" w:rsidRPr="00320AA1">
        <w:rPr>
          <w:sz w:val="24"/>
          <w:szCs w:val="24"/>
        </w:rPr>
        <w:t>i</w:t>
      </w:r>
      <w:proofErr w:type="spellEnd"/>
      <w:r w:rsidR="00EA6AF2" w:rsidRPr="00320AA1">
        <w:rPr>
          <w:sz w:val="24"/>
          <w:szCs w:val="24"/>
        </w:rPr>
        <w:t>)(a</w:t>
      </w:r>
      <w:r w:rsidRPr="00320AA1">
        <w:rPr>
          <w:sz w:val="24"/>
          <w:szCs w:val="24"/>
        </w:rPr>
        <w:t>); therefore, the PSD threshold for a major source is 250 tpy.  The facility ha</w:t>
      </w:r>
      <w:r w:rsidR="002E2B49" w:rsidRPr="00320AA1">
        <w:rPr>
          <w:sz w:val="24"/>
          <w:szCs w:val="24"/>
        </w:rPr>
        <w:t>d</w:t>
      </w:r>
      <w:r w:rsidRPr="00320AA1">
        <w:rPr>
          <w:sz w:val="24"/>
          <w:szCs w:val="24"/>
        </w:rPr>
        <w:t xml:space="preserve"> the potential to emit more than 250 tons per year of </w:t>
      </w:r>
      <w:r w:rsidR="002E2B49" w:rsidRPr="00320AA1">
        <w:rPr>
          <w:sz w:val="24"/>
          <w:szCs w:val="24"/>
        </w:rPr>
        <w:t>VOC</w:t>
      </w:r>
      <w:r w:rsidRPr="00320AA1">
        <w:rPr>
          <w:sz w:val="24"/>
          <w:szCs w:val="24"/>
        </w:rPr>
        <w:t xml:space="preserve"> but will continue to limit facility-wide emissions of </w:t>
      </w:r>
      <w:r w:rsidR="001D74F5" w:rsidRPr="00320AA1">
        <w:rPr>
          <w:sz w:val="24"/>
          <w:szCs w:val="24"/>
        </w:rPr>
        <w:t>VOC</w:t>
      </w:r>
      <w:r w:rsidRPr="00320AA1">
        <w:rPr>
          <w:sz w:val="24"/>
          <w:szCs w:val="24"/>
        </w:rPr>
        <w:t xml:space="preserve"> to </w:t>
      </w:r>
      <w:r w:rsidR="001D74F5" w:rsidRPr="00320AA1">
        <w:rPr>
          <w:sz w:val="24"/>
          <w:szCs w:val="24"/>
        </w:rPr>
        <w:t>248.8</w:t>
      </w:r>
      <w:r w:rsidRPr="00320AA1">
        <w:rPr>
          <w:sz w:val="24"/>
          <w:szCs w:val="24"/>
        </w:rPr>
        <w:t xml:space="preserve"> tpy; therefore, the facility is considered a moderate stationary source. This permitting action will not</w:t>
      </w:r>
      <w:r w:rsidR="001D74F5" w:rsidRPr="00320AA1">
        <w:rPr>
          <w:sz w:val="24"/>
          <w:szCs w:val="24"/>
        </w:rPr>
        <w:t xml:space="preserve"> </w:t>
      </w:r>
      <w:r w:rsidRPr="00320AA1">
        <w:rPr>
          <w:sz w:val="24"/>
          <w:szCs w:val="24"/>
        </w:rPr>
        <w:t>change the current PSD status of the facility.</w:t>
      </w:r>
    </w:p>
    <w:p w14:paraId="47931A52" w14:textId="77777777" w:rsidR="00BA3BCF" w:rsidRDefault="00BA3BCF" w:rsidP="00104CE2">
      <w:pPr>
        <w:jc w:val="both"/>
        <w:rPr>
          <w:sz w:val="24"/>
          <w:szCs w:val="24"/>
          <w:u w:val="single"/>
        </w:rPr>
      </w:pPr>
    </w:p>
    <w:p w14:paraId="71658AD6" w14:textId="77777777" w:rsidR="00BA3BCF" w:rsidRDefault="00BA3BCF" w:rsidP="00BA3BC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FACILITY MODIFICATIONS AND/OR PERMIT CHANGES</w:t>
      </w:r>
    </w:p>
    <w:p w14:paraId="6A601405" w14:textId="0A8A6F09" w:rsidR="009152E1" w:rsidRPr="00320AA1" w:rsidRDefault="00CE3985" w:rsidP="009152E1">
      <w:pPr>
        <w:jc w:val="both"/>
        <w:rPr>
          <w:sz w:val="24"/>
          <w:szCs w:val="24"/>
        </w:rPr>
      </w:pPr>
      <w:r w:rsidRPr="00320AA1">
        <w:rPr>
          <w:sz w:val="24"/>
          <w:szCs w:val="24"/>
        </w:rPr>
        <w:t>The noteworthy changes to this permit are the removal of Emission Points AA-</w:t>
      </w:r>
      <w:r w:rsidR="00D17601" w:rsidRPr="00320AA1">
        <w:rPr>
          <w:sz w:val="24"/>
          <w:szCs w:val="24"/>
        </w:rPr>
        <w:t>003, AA-004, AA-00</w:t>
      </w:r>
      <w:r w:rsidR="00D06EE9" w:rsidRPr="00320AA1">
        <w:rPr>
          <w:sz w:val="24"/>
          <w:szCs w:val="24"/>
        </w:rPr>
        <w:t xml:space="preserve">5, AA-006, AA-007, </w:t>
      </w:r>
      <w:r w:rsidR="0062514C" w:rsidRPr="00320AA1">
        <w:rPr>
          <w:sz w:val="24"/>
          <w:szCs w:val="24"/>
        </w:rPr>
        <w:t xml:space="preserve">and AA-008, from the permit.  This equipment (boilers and kilns) </w:t>
      </w:r>
      <w:proofErr w:type="gramStart"/>
      <w:r w:rsidR="0062514C" w:rsidRPr="00320AA1">
        <w:rPr>
          <w:sz w:val="24"/>
          <w:szCs w:val="24"/>
        </w:rPr>
        <w:t>were</w:t>
      </w:r>
      <w:proofErr w:type="gramEnd"/>
      <w:r w:rsidR="0062514C" w:rsidRPr="00320AA1">
        <w:rPr>
          <w:sz w:val="24"/>
          <w:szCs w:val="24"/>
        </w:rPr>
        <w:t xml:space="preserve"> replaced by the emission units authorized under the Permit to Construct issued October 3, 2023.  This</w:t>
      </w:r>
      <w:r w:rsidR="00C24D75" w:rsidRPr="00320AA1">
        <w:rPr>
          <w:sz w:val="24"/>
          <w:szCs w:val="24"/>
        </w:rPr>
        <w:t xml:space="preserve"> included the removal of any federal regulations these emission units were subject to (covered </w:t>
      </w:r>
      <w:r w:rsidR="001617AD" w:rsidRPr="00320AA1">
        <w:rPr>
          <w:sz w:val="24"/>
          <w:szCs w:val="24"/>
        </w:rPr>
        <w:t xml:space="preserve">below under the NESHAP and NSPS Applicability sections).  </w:t>
      </w:r>
      <w:r w:rsidR="00BE48EC" w:rsidRPr="00320AA1">
        <w:rPr>
          <w:sz w:val="24"/>
          <w:szCs w:val="24"/>
        </w:rPr>
        <w:t xml:space="preserve">This permitting action also meant incorporating the PSD avoidance limits established in the 2023 Permit to Construct.  </w:t>
      </w:r>
      <w:r w:rsidR="00BE01B2">
        <w:rPr>
          <w:sz w:val="24"/>
          <w:szCs w:val="24"/>
        </w:rPr>
        <w:t>Additionally, a 64.1 hp emergency</w:t>
      </w:r>
      <w:r w:rsidR="00857094">
        <w:rPr>
          <w:sz w:val="24"/>
          <w:szCs w:val="24"/>
        </w:rPr>
        <w:t xml:space="preserve">, propane-fired </w:t>
      </w:r>
      <w:r w:rsidR="00BE01B2">
        <w:rPr>
          <w:sz w:val="24"/>
          <w:szCs w:val="24"/>
        </w:rPr>
        <w:t xml:space="preserve">engine was added to the facility through a 502(b)(10) </w:t>
      </w:r>
      <w:r w:rsidR="00E43FF4">
        <w:rPr>
          <w:sz w:val="24"/>
          <w:szCs w:val="24"/>
        </w:rPr>
        <w:t xml:space="preserve">action.  The engine </w:t>
      </w:r>
      <w:r w:rsidR="0023465D">
        <w:rPr>
          <w:sz w:val="24"/>
          <w:szCs w:val="24"/>
        </w:rPr>
        <w:t>has been added to the permit as Emission Point AA-017 and is subject to the same conditions as Emission Point AA-0</w:t>
      </w:r>
      <w:r w:rsidR="00857094">
        <w:rPr>
          <w:sz w:val="24"/>
          <w:szCs w:val="24"/>
        </w:rPr>
        <w:t xml:space="preserve">12.  </w:t>
      </w:r>
      <w:r w:rsidR="00F16097" w:rsidRPr="00320AA1">
        <w:rPr>
          <w:sz w:val="24"/>
          <w:szCs w:val="24"/>
        </w:rPr>
        <w:t xml:space="preserve">Lastly, there was some cleaning-up and updating of federal requirement language for the </w:t>
      </w:r>
      <w:r w:rsidR="008D152B">
        <w:rPr>
          <w:sz w:val="24"/>
          <w:szCs w:val="24"/>
        </w:rPr>
        <w:t xml:space="preserve">existing </w:t>
      </w:r>
      <w:r w:rsidR="00F16097" w:rsidRPr="00320AA1">
        <w:rPr>
          <w:sz w:val="24"/>
          <w:szCs w:val="24"/>
        </w:rPr>
        <w:t>emergency engines.</w:t>
      </w:r>
    </w:p>
    <w:p w14:paraId="5F8C25C8" w14:textId="62A9E67C" w:rsidR="00BA3BCF" w:rsidRPr="00BA3BCF" w:rsidRDefault="00BA3BCF" w:rsidP="00BA3BCF">
      <w:pPr>
        <w:jc w:val="both"/>
        <w:rPr>
          <w:color w:val="4F81BD" w:themeColor="accent1"/>
          <w:sz w:val="24"/>
          <w:szCs w:val="24"/>
        </w:rPr>
      </w:pPr>
    </w:p>
    <w:p w14:paraId="1E92552E" w14:textId="77777777" w:rsidR="00BA3BCF" w:rsidRDefault="00BA3BCF" w:rsidP="00104CE2">
      <w:pPr>
        <w:jc w:val="both"/>
        <w:rPr>
          <w:sz w:val="24"/>
          <w:szCs w:val="24"/>
          <w:u w:val="single"/>
        </w:rPr>
      </w:pPr>
    </w:p>
    <w:p w14:paraId="6EDA9249" w14:textId="77777777" w:rsidR="00531513" w:rsidRDefault="00AB6090" w:rsidP="00104CE2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COMPLIANCE ASSURANCE MONITORING (</w:t>
      </w:r>
      <w:r w:rsidR="00531513">
        <w:rPr>
          <w:sz w:val="24"/>
          <w:szCs w:val="24"/>
          <w:u w:val="single"/>
        </w:rPr>
        <w:t>CAM</w:t>
      </w:r>
      <w:r>
        <w:rPr>
          <w:sz w:val="24"/>
          <w:szCs w:val="24"/>
          <w:u w:val="single"/>
        </w:rPr>
        <w:t>)</w:t>
      </w:r>
      <w:r w:rsidR="00531513">
        <w:rPr>
          <w:sz w:val="24"/>
          <w:szCs w:val="24"/>
          <w:u w:val="single"/>
        </w:rPr>
        <w:t xml:space="preserve"> APPLICABILITY</w:t>
      </w:r>
    </w:p>
    <w:p w14:paraId="522AECC9" w14:textId="77777777" w:rsidR="00AD7559" w:rsidRPr="00AD7559" w:rsidRDefault="00AD7559" w:rsidP="00104CE2">
      <w:pPr>
        <w:jc w:val="both"/>
        <w:rPr>
          <w:sz w:val="24"/>
          <w:szCs w:val="24"/>
        </w:rPr>
      </w:pPr>
      <w:r w:rsidRPr="00AD7559">
        <w:rPr>
          <w:sz w:val="24"/>
          <w:szCs w:val="24"/>
        </w:rPr>
        <w:t xml:space="preserve">40 CFR Part 64 specifies the requirements for </w:t>
      </w:r>
      <w:r w:rsidR="00AB6090">
        <w:rPr>
          <w:sz w:val="24"/>
          <w:szCs w:val="24"/>
        </w:rPr>
        <w:t>CAM</w:t>
      </w:r>
      <w:r w:rsidRPr="00AD7559">
        <w:rPr>
          <w:sz w:val="24"/>
          <w:szCs w:val="24"/>
        </w:rPr>
        <w:t xml:space="preserve">.  The general applicability of this rule can be found in 40 CFR 64.2 and requires a Title V source to comply with the CAM requirements if </w:t>
      </w:r>
      <w:r>
        <w:rPr>
          <w:sz w:val="24"/>
          <w:szCs w:val="24"/>
        </w:rPr>
        <w:t>all three of the</w:t>
      </w:r>
      <w:r w:rsidRPr="00AD7559">
        <w:rPr>
          <w:sz w:val="24"/>
          <w:szCs w:val="24"/>
        </w:rPr>
        <w:t xml:space="preserve"> following criteria are met</w:t>
      </w:r>
      <w:r w:rsidR="006F0510">
        <w:rPr>
          <w:sz w:val="24"/>
          <w:szCs w:val="24"/>
        </w:rPr>
        <w:t xml:space="preserve"> for a pollutant-specific emission unit (PSEU)</w:t>
      </w:r>
      <w:r w:rsidRPr="00AD7559">
        <w:rPr>
          <w:sz w:val="24"/>
          <w:szCs w:val="24"/>
        </w:rPr>
        <w:t>:</w:t>
      </w:r>
    </w:p>
    <w:p w14:paraId="53CAB502" w14:textId="77777777" w:rsidR="00AD7559" w:rsidRPr="00AD7559" w:rsidRDefault="00AD7559" w:rsidP="00104CE2">
      <w:pPr>
        <w:jc w:val="both"/>
        <w:rPr>
          <w:sz w:val="24"/>
          <w:szCs w:val="24"/>
        </w:rPr>
      </w:pPr>
    </w:p>
    <w:p w14:paraId="228EED56" w14:textId="77777777" w:rsidR="00AD7559" w:rsidRPr="00AD7559" w:rsidRDefault="00AD7559" w:rsidP="00104CE2">
      <w:pPr>
        <w:numPr>
          <w:ilvl w:val="0"/>
          <w:numId w:val="2"/>
        </w:numPr>
        <w:ind w:left="720" w:hanging="360"/>
        <w:jc w:val="both"/>
        <w:rPr>
          <w:sz w:val="24"/>
          <w:szCs w:val="24"/>
        </w:rPr>
      </w:pPr>
      <w:r w:rsidRPr="00AD7559">
        <w:rPr>
          <w:sz w:val="24"/>
          <w:szCs w:val="24"/>
        </w:rPr>
        <w:t>The unit is subject to an emission limitation or standard for a regulated air pollutant other than exem</w:t>
      </w:r>
      <w:r>
        <w:rPr>
          <w:sz w:val="24"/>
          <w:szCs w:val="24"/>
        </w:rPr>
        <w:t>ptions under 40 CFR 64.2(b)(1);</w:t>
      </w:r>
    </w:p>
    <w:p w14:paraId="6033CD63" w14:textId="77777777" w:rsidR="00AD7559" w:rsidRPr="00AD7559" w:rsidRDefault="00AD7559" w:rsidP="00104CE2">
      <w:pPr>
        <w:numPr>
          <w:ilvl w:val="0"/>
          <w:numId w:val="2"/>
        </w:numPr>
        <w:ind w:left="720" w:hanging="360"/>
        <w:jc w:val="both"/>
        <w:rPr>
          <w:sz w:val="24"/>
          <w:szCs w:val="24"/>
        </w:rPr>
      </w:pPr>
      <w:r w:rsidRPr="00AD7559">
        <w:rPr>
          <w:sz w:val="24"/>
          <w:szCs w:val="24"/>
        </w:rPr>
        <w:t xml:space="preserve">The unit uses a control device to </w:t>
      </w:r>
      <w:r>
        <w:rPr>
          <w:sz w:val="24"/>
          <w:szCs w:val="24"/>
        </w:rPr>
        <w:t>comply with</w:t>
      </w:r>
      <w:r w:rsidRPr="00AD7559">
        <w:rPr>
          <w:sz w:val="24"/>
          <w:szCs w:val="24"/>
        </w:rPr>
        <w:t xml:space="preserve"> the standard</w:t>
      </w:r>
      <w:r>
        <w:rPr>
          <w:sz w:val="24"/>
          <w:szCs w:val="24"/>
        </w:rPr>
        <w:t>;</w:t>
      </w:r>
      <w:r w:rsidRPr="00AD7559">
        <w:rPr>
          <w:sz w:val="24"/>
          <w:szCs w:val="24"/>
        </w:rPr>
        <w:t xml:space="preserve"> and</w:t>
      </w:r>
    </w:p>
    <w:p w14:paraId="3E5B444E" w14:textId="77777777" w:rsidR="00AD7559" w:rsidRPr="00AD7559" w:rsidRDefault="00AD7559" w:rsidP="00104CE2">
      <w:pPr>
        <w:numPr>
          <w:ilvl w:val="0"/>
          <w:numId w:val="2"/>
        </w:numPr>
        <w:ind w:left="720" w:hanging="360"/>
        <w:jc w:val="both"/>
        <w:rPr>
          <w:sz w:val="24"/>
          <w:szCs w:val="24"/>
        </w:rPr>
      </w:pPr>
      <w:r w:rsidRPr="00AD7559">
        <w:rPr>
          <w:sz w:val="24"/>
          <w:szCs w:val="24"/>
        </w:rPr>
        <w:t xml:space="preserve">The unit has pre-control emissions exceeding </w:t>
      </w:r>
      <w:r w:rsidR="00C72133">
        <w:rPr>
          <w:sz w:val="24"/>
          <w:szCs w:val="24"/>
        </w:rPr>
        <w:t>Title V major source threshold</w:t>
      </w:r>
      <w:r w:rsidRPr="00AD7559">
        <w:rPr>
          <w:sz w:val="24"/>
          <w:szCs w:val="24"/>
        </w:rPr>
        <w:t>.</w:t>
      </w:r>
    </w:p>
    <w:p w14:paraId="4E58290B" w14:textId="77777777" w:rsidR="00AD7559" w:rsidRPr="00320AA1" w:rsidRDefault="00AD7559" w:rsidP="00104CE2">
      <w:pPr>
        <w:jc w:val="both"/>
        <w:rPr>
          <w:sz w:val="24"/>
          <w:szCs w:val="24"/>
        </w:rPr>
      </w:pPr>
    </w:p>
    <w:p w14:paraId="4686EDC3" w14:textId="1CC58682" w:rsidR="00C72133" w:rsidRPr="00320AA1" w:rsidRDefault="00E0168A" w:rsidP="004C40B7">
      <w:pPr>
        <w:jc w:val="both"/>
        <w:rPr>
          <w:sz w:val="24"/>
          <w:szCs w:val="24"/>
        </w:rPr>
      </w:pPr>
      <w:r w:rsidRPr="00320AA1">
        <w:rPr>
          <w:sz w:val="24"/>
          <w:szCs w:val="24"/>
        </w:rPr>
        <w:t xml:space="preserve">Cyclones on Emission Point AA-001 and AA-015 are considered “inherent” equipment.  </w:t>
      </w:r>
      <w:r w:rsidR="00AB348F" w:rsidRPr="00320AA1">
        <w:rPr>
          <w:sz w:val="24"/>
          <w:szCs w:val="24"/>
        </w:rPr>
        <w:t xml:space="preserve">There </w:t>
      </w:r>
      <w:proofErr w:type="gramStart"/>
      <w:r w:rsidR="00AB348F" w:rsidRPr="00320AA1">
        <w:rPr>
          <w:sz w:val="24"/>
          <w:szCs w:val="24"/>
        </w:rPr>
        <w:t>are</w:t>
      </w:r>
      <w:proofErr w:type="gramEnd"/>
      <w:r w:rsidR="00AB348F" w:rsidRPr="00320AA1">
        <w:rPr>
          <w:sz w:val="24"/>
          <w:szCs w:val="24"/>
        </w:rPr>
        <w:t xml:space="preserve"> no other </w:t>
      </w:r>
      <w:r w:rsidR="004C40B7" w:rsidRPr="00320AA1">
        <w:rPr>
          <w:sz w:val="24"/>
          <w:szCs w:val="24"/>
        </w:rPr>
        <w:t xml:space="preserve">emission points equipped with control equipment; </w:t>
      </w:r>
      <w:proofErr w:type="gramStart"/>
      <w:r w:rsidR="004C40B7" w:rsidRPr="00320AA1">
        <w:rPr>
          <w:sz w:val="24"/>
          <w:szCs w:val="24"/>
        </w:rPr>
        <w:t>therefore</w:t>
      </w:r>
      <w:proofErr w:type="gramEnd"/>
      <w:r w:rsidR="004C40B7" w:rsidRPr="00320AA1">
        <w:rPr>
          <w:sz w:val="24"/>
          <w:szCs w:val="24"/>
        </w:rPr>
        <w:t xml:space="preserve"> CAM does not apply. </w:t>
      </w:r>
    </w:p>
    <w:p w14:paraId="415C3C8A" w14:textId="77777777" w:rsidR="00531513" w:rsidRDefault="00531513" w:rsidP="00531513">
      <w:pPr>
        <w:rPr>
          <w:sz w:val="24"/>
          <w:szCs w:val="24"/>
        </w:rPr>
      </w:pPr>
    </w:p>
    <w:p w14:paraId="0A8B46CA" w14:textId="77777777" w:rsidR="00531513" w:rsidRDefault="00AE4F70" w:rsidP="00104CE2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NATIONAL EMISSION STANDARDS FOR HAZARDOUS AIR POLLUTANTS (NESHAP) </w:t>
      </w:r>
      <w:r w:rsidR="00531513">
        <w:rPr>
          <w:sz w:val="24"/>
          <w:szCs w:val="24"/>
          <w:u w:val="single"/>
        </w:rPr>
        <w:t>APPLICABILITY</w:t>
      </w:r>
    </w:p>
    <w:p w14:paraId="5DD952A6" w14:textId="77777777" w:rsidR="00A062A0" w:rsidRPr="00320AA1" w:rsidRDefault="004762D3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63, Subpart CCCCCC – National Emission Standards for Hazardous Air Pollutants for Source Category: Gasoline Dispensing Facilities</w:t>
      </w:r>
      <w:r w:rsidR="003F6088" w:rsidRPr="00320AA1">
        <w:rPr>
          <w:i/>
          <w:iCs/>
          <w:sz w:val="24"/>
          <w:szCs w:val="24"/>
        </w:rPr>
        <w:t xml:space="preserve">:  </w:t>
      </w:r>
      <w:r w:rsidR="003F6088" w:rsidRPr="00320AA1">
        <w:rPr>
          <w:sz w:val="24"/>
          <w:szCs w:val="24"/>
        </w:rPr>
        <w:t xml:space="preserve">this subpart applies to </w:t>
      </w:r>
      <w:r w:rsidR="00454300" w:rsidRPr="00320AA1">
        <w:rPr>
          <w:sz w:val="24"/>
          <w:szCs w:val="24"/>
        </w:rPr>
        <w:t>gasoline dispensing facilities (GDF) located at an area source of HAP.</w:t>
      </w:r>
      <w:r w:rsidR="008A04F8" w:rsidRPr="00320AA1">
        <w:rPr>
          <w:sz w:val="24"/>
          <w:szCs w:val="24"/>
        </w:rPr>
        <w:t xml:space="preserve">  GDF is defined as a stationary facility which </w:t>
      </w:r>
      <w:r w:rsidR="004C76AA" w:rsidRPr="00320AA1">
        <w:rPr>
          <w:sz w:val="24"/>
          <w:szCs w:val="24"/>
        </w:rPr>
        <w:t xml:space="preserve">dispenses gasoline into the fuel tank of a motor vehicle, motor vehicle engine, nonroad vehicle, or nonroad engine, </w:t>
      </w:r>
      <w:r w:rsidR="00D90B30" w:rsidRPr="00320AA1">
        <w:rPr>
          <w:sz w:val="24"/>
          <w:szCs w:val="24"/>
        </w:rPr>
        <w:t>etc.  Affected sources under the subpart include storage tanks with a monthly throughput less than 10,000 gallons of gasoline</w:t>
      </w:r>
      <w:r w:rsidR="00CC139A" w:rsidRPr="00320AA1">
        <w:rPr>
          <w:sz w:val="24"/>
          <w:szCs w:val="24"/>
        </w:rPr>
        <w:t>.  This facility dispenses gasoline</w:t>
      </w:r>
      <w:r w:rsidR="001A0168" w:rsidRPr="00320AA1">
        <w:rPr>
          <w:sz w:val="24"/>
          <w:szCs w:val="24"/>
        </w:rPr>
        <w:t xml:space="preserve"> at the site and has a 1,000-gallon gasoline tank (Emission Point AA-009) with a monthly throughput less than</w:t>
      </w:r>
      <w:r w:rsidR="00883D77" w:rsidRPr="00320AA1">
        <w:rPr>
          <w:sz w:val="24"/>
          <w:szCs w:val="24"/>
        </w:rPr>
        <w:t xml:space="preserve"> 10,000 gallons per month; </w:t>
      </w:r>
      <w:proofErr w:type="gramStart"/>
      <w:r w:rsidR="00883D77" w:rsidRPr="00320AA1">
        <w:rPr>
          <w:sz w:val="24"/>
          <w:szCs w:val="24"/>
        </w:rPr>
        <w:t>therefore</w:t>
      </w:r>
      <w:proofErr w:type="gramEnd"/>
      <w:r w:rsidR="00883D77" w:rsidRPr="00320AA1">
        <w:rPr>
          <w:sz w:val="24"/>
          <w:szCs w:val="24"/>
        </w:rPr>
        <w:t xml:space="preserve"> this subpart does apply.  The facility is required to monitor monthly throughput (the </w:t>
      </w:r>
      <w:r w:rsidR="00882403" w:rsidRPr="00320AA1">
        <w:rPr>
          <w:sz w:val="24"/>
          <w:szCs w:val="24"/>
        </w:rPr>
        <w:t>subpart has a once-in-always-in policy with throughput limits).</w:t>
      </w:r>
      <w:r w:rsidR="00CF6784" w:rsidRPr="00320AA1">
        <w:rPr>
          <w:sz w:val="24"/>
          <w:szCs w:val="24"/>
        </w:rPr>
        <w:t xml:space="preserve"> Work practice standards also apply.</w:t>
      </w:r>
    </w:p>
    <w:p w14:paraId="607D11E3" w14:textId="77777777" w:rsidR="00A062A0" w:rsidRPr="00320AA1" w:rsidRDefault="00A062A0" w:rsidP="00104CE2">
      <w:pPr>
        <w:jc w:val="both"/>
        <w:rPr>
          <w:sz w:val="24"/>
          <w:szCs w:val="24"/>
        </w:rPr>
      </w:pPr>
    </w:p>
    <w:p w14:paraId="7A61E95C" w14:textId="77777777" w:rsidR="00033B2A" w:rsidRPr="00320AA1" w:rsidRDefault="00A062A0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63, Subpart JJJJJ</w:t>
      </w:r>
      <w:r w:rsidR="006D6F13" w:rsidRPr="00320AA1">
        <w:rPr>
          <w:i/>
          <w:iCs/>
          <w:sz w:val="24"/>
          <w:szCs w:val="24"/>
        </w:rPr>
        <w:t xml:space="preserve">J – National Emission Standards for Hazardous Air Pollutants for Industrial, Commercial, </w:t>
      </w:r>
      <w:r w:rsidR="000E7A3A" w:rsidRPr="00320AA1">
        <w:rPr>
          <w:i/>
          <w:iCs/>
          <w:sz w:val="24"/>
          <w:szCs w:val="24"/>
        </w:rPr>
        <w:t xml:space="preserve">and Institutional Boilers at Area Sources: </w:t>
      </w:r>
      <w:r w:rsidR="000E7A3A" w:rsidRPr="00320AA1">
        <w:rPr>
          <w:sz w:val="24"/>
          <w:szCs w:val="24"/>
        </w:rPr>
        <w:t>this subpart applies to boilers at area sources of HAP.  Previously, this NESHAP applied due to the onsite boilers, Emission Points AA-003, AA-004, and AA-008</w:t>
      </w:r>
      <w:r w:rsidR="00033B2A" w:rsidRPr="00320AA1">
        <w:rPr>
          <w:sz w:val="24"/>
          <w:szCs w:val="24"/>
        </w:rPr>
        <w:t>; however, since the 2023 Permit to Construct, these units were removed.  Therefore, this subpart does not apply.</w:t>
      </w:r>
    </w:p>
    <w:p w14:paraId="249AC1E0" w14:textId="77777777" w:rsidR="00033B2A" w:rsidRPr="00320AA1" w:rsidRDefault="00033B2A" w:rsidP="00104CE2">
      <w:pPr>
        <w:jc w:val="both"/>
        <w:rPr>
          <w:sz w:val="24"/>
          <w:szCs w:val="24"/>
        </w:rPr>
      </w:pPr>
    </w:p>
    <w:p w14:paraId="1C275FE5" w14:textId="3350C9E7" w:rsidR="00531513" w:rsidRPr="00320AA1" w:rsidRDefault="00A52D8F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63, Subpart ZZZZ – National Emission Standards for Hazardous Air Pollutants for Stationary Reciprocating Internal Combustion Units</w:t>
      </w:r>
      <w:r w:rsidR="008A000E" w:rsidRPr="00320AA1">
        <w:rPr>
          <w:i/>
          <w:iCs/>
          <w:sz w:val="24"/>
          <w:szCs w:val="24"/>
        </w:rPr>
        <w:t xml:space="preserve">  </w:t>
      </w:r>
      <w:r w:rsidR="008A000E" w:rsidRPr="00320AA1">
        <w:rPr>
          <w:sz w:val="24"/>
          <w:szCs w:val="24"/>
        </w:rPr>
        <w:t>this subpart applies to stationary reciprocating internal combustion engines.  This facility has four; therefore, this subpart applies.  However, there are provisions of the subpart that state that units subject to NSPSs Subpart IIII and JJJJ</w:t>
      </w:r>
      <w:r w:rsidR="00D42DEA" w:rsidRPr="00320AA1">
        <w:rPr>
          <w:sz w:val="24"/>
          <w:szCs w:val="24"/>
        </w:rPr>
        <w:t xml:space="preserve"> will meet the conditions of this subpart by complying with the conditions of the applicable NSPS.  All four of the engines (Emission Points AA-010, AA-011, AA-012, AA-013</w:t>
      </w:r>
      <w:r w:rsidR="008D152B">
        <w:rPr>
          <w:sz w:val="24"/>
          <w:szCs w:val="24"/>
        </w:rPr>
        <w:t>, and AA-017</w:t>
      </w:r>
      <w:r w:rsidR="00982AF3" w:rsidRPr="00320AA1">
        <w:rPr>
          <w:sz w:val="24"/>
          <w:szCs w:val="24"/>
        </w:rPr>
        <w:t>) are subject to one of the respective NSPSs, so no conditions of Subpart ZZZZ were incorporated into the permit.</w:t>
      </w:r>
      <w:r w:rsidR="00D90B30" w:rsidRPr="00320AA1">
        <w:rPr>
          <w:sz w:val="24"/>
          <w:szCs w:val="24"/>
        </w:rPr>
        <w:t xml:space="preserve">  </w:t>
      </w:r>
    </w:p>
    <w:p w14:paraId="7D309A6D" w14:textId="77777777" w:rsidR="001D736D" w:rsidRPr="00320AA1" w:rsidRDefault="001D736D" w:rsidP="00104CE2">
      <w:pPr>
        <w:jc w:val="both"/>
        <w:rPr>
          <w:sz w:val="24"/>
          <w:szCs w:val="24"/>
        </w:rPr>
      </w:pPr>
    </w:p>
    <w:p w14:paraId="610A63B4" w14:textId="306DF6EA" w:rsidR="001D736D" w:rsidRPr="00320AA1" w:rsidRDefault="001D736D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63, Subpart DDDD – National Emission Standards for Hazardous Air Pollutants</w:t>
      </w:r>
      <w:r w:rsidR="00476D3E" w:rsidRPr="00320AA1">
        <w:rPr>
          <w:i/>
          <w:iCs/>
          <w:sz w:val="24"/>
          <w:szCs w:val="24"/>
        </w:rPr>
        <w:t xml:space="preserve">: Plywood and Composite Wood Products:  </w:t>
      </w:r>
      <w:r w:rsidR="00476D3E" w:rsidRPr="00320AA1">
        <w:rPr>
          <w:sz w:val="24"/>
          <w:szCs w:val="24"/>
        </w:rPr>
        <w:t xml:space="preserve">this subpart applies to </w:t>
      </w:r>
      <w:r w:rsidR="00E73B03" w:rsidRPr="00320AA1">
        <w:rPr>
          <w:sz w:val="24"/>
          <w:szCs w:val="24"/>
        </w:rPr>
        <w:t xml:space="preserve">plywood and composite wood </w:t>
      </w:r>
      <w:r w:rsidR="00E73B03" w:rsidRPr="00320AA1">
        <w:rPr>
          <w:sz w:val="24"/>
          <w:szCs w:val="24"/>
        </w:rPr>
        <w:lastRenderedPageBreak/>
        <w:t>product facilities at major sources of HAPs.  This facility is an area source of HAP; therefore, the subpart does not apply.</w:t>
      </w:r>
    </w:p>
    <w:p w14:paraId="2D96839F" w14:textId="77777777" w:rsidR="00AE4F70" w:rsidRDefault="00AE4F70" w:rsidP="00104CE2">
      <w:pPr>
        <w:jc w:val="both"/>
        <w:rPr>
          <w:sz w:val="24"/>
          <w:szCs w:val="24"/>
        </w:rPr>
      </w:pPr>
    </w:p>
    <w:p w14:paraId="024443C8" w14:textId="77777777" w:rsidR="00AE4F70" w:rsidRDefault="00AE4F70" w:rsidP="00104CE2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NEW SOURCE PERFORMANCE STANDARDS (NSPS) APPLICABILITY</w:t>
      </w:r>
    </w:p>
    <w:p w14:paraId="0FE8FB0B" w14:textId="70FDF514" w:rsidR="00AE4F70" w:rsidRPr="00320AA1" w:rsidRDefault="00226D99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60, Subpart Dc – Standards of Performance for Small Industrial-Commercial-Institutional Steam Generating Units</w:t>
      </w:r>
      <w:r w:rsidR="00F605EA" w:rsidRPr="00320AA1">
        <w:rPr>
          <w:i/>
          <w:iCs/>
          <w:sz w:val="24"/>
          <w:szCs w:val="24"/>
        </w:rPr>
        <w:t xml:space="preserve">: </w:t>
      </w:r>
      <w:r w:rsidR="00F605EA" w:rsidRPr="00320AA1">
        <w:rPr>
          <w:sz w:val="24"/>
          <w:szCs w:val="24"/>
        </w:rPr>
        <w:t>this subpart applies to steam generating units.  Previously, this NSPS applied due to the onsite boilers, Emission Points AA-003, AA-004, and AA-008; however, since the 2023 Permit to Construct, these units were removed.  Therefore, this subpart does not apply.</w:t>
      </w:r>
    </w:p>
    <w:p w14:paraId="1ECD3337" w14:textId="77777777" w:rsidR="00301DC2" w:rsidRPr="00320AA1" w:rsidRDefault="00301DC2" w:rsidP="00104CE2">
      <w:pPr>
        <w:jc w:val="both"/>
        <w:rPr>
          <w:sz w:val="24"/>
          <w:szCs w:val="24"/>
        </w:rPr>
      </w:pPr>
    </w:p>
    <w:p w14:paraId="4B9C8BA3" w14:textId="6FF29837" w:rsidR="00301DC2" w:rsidRPr="00320AA1" w:rsidRDefault="00301DC2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>40 CFR 60, Subpart IIII – Standards of Performance for St</w:t>
      </w:r>
      <w:r w:rsidR="00020A1D" w:rsidRPr="00320AA1">
        <w:rPr>
          <w:i/>
          <w:iCs/>
          <w:sz w:val="24"/>
          <w:szCs w:val="24"/>
        </w:rPr>
        <w:t xml:space="preserve">ationary Compression Ignition </w:t>
      </w:r>
      <w:r w:rsidR="00A6534C" w:rsidRPr="00320AA1">
        <w:rPr>
          <w:i/>
          <w:iCs/>
          <w:sz w:val="24"/>
          <w:szCs w:val="24"/>
        </w:rPr>
        <w:t xml:space="preserve">Internal Combustion Engines:  </w:t>
      </w:r>
      <w:r w:rsidR="00A6534C" w:rsidRPr="00320AA1">
        <w:rPr>
          <w:sz w:val="24"/>
          <w:szCs w:val="24"/>
        </w:rPr>
        <w:t xml:space="preserve">this subpart applies to compression ignition engines.  Emission Points AA-010 and AA-011 are </w:t>
      </w:r>
      <w:r w:rsidR="00ED7FE3" w:rsidRPr="00320AA1">
        <w:rPr>
          <w:sz w:val="24"/>
          <w:szCs w:val="24"/>
        </w:rPr>
        <w:t>compression ignition e</w:t>
      </w:r>
      <w:r w:rsidR="0032717A" w:rsidRPr="00320AA1">
        <w:rPr>
          <w:sz w:val="24"/>
          <w:szCs w:val="24"/>
        </w:rPr>
        <w:t xml:space="preserve">mergency engines; therefore, this subpart does apply.  This subpart includes diesel fuel requirements, operation and maintenance requirements, and monitoring of emergency and non-emergency use through a non-resettable hour meter.  </w:t>
      </w:r>
      <w:r w:rsidR="00583BF6" w:rsidRPr="00320AA1">
        <w:rPr>
          <w:sz w:val="24"/>
          <w:szCs w:val="24"/>
        </w:rPr>
        <w:t xml:space="preserve">The engines are also subject to emission limits based on their respective capacity and </w:t>
      </w:r>
      <w:r w:rsidR="00850E46" w:rsidRPr="00320AA1">
        <w:rPr>
          <w:sz w:val="24"/>
          <w:szCs w:val="24"/>
        </w:rPr>
        <w:t xml:space="preserve">their status as a fire pump engine.  The engines will meet these emission requirements by being certified </w:t>
      </w:r>
      <w:r w:rsidR="00506006" w:rsidRPr="00320AA1">
        <w:rPr>
          <w:sz w:val="24"/>
          <w:szCs w:val="24"/>
        </w:rPr>
        <w:t>engines.</w:t>
      </w:r>
    </w:p>
    <w:p w14:paraId="7CD3E74E" w14:textId="77777777" w:rsidR="00506006" w:rsidRPr="00320AA1" w:rsidRDefault="00506006" w:rsidP="00104CE2">
      <w:pPr>
        <w:jc w:val="both"/>
        <w:rPr>
          <w:sz w:val="24"/>
          <w:szCs w:val="24"/>
        </w:rPr>
      </w:pPr>
    </w:p>
    <w:p w14:paraId="6AD9E6CE" w14:textId="19D05B7A" w:rsidR="00506006" w:rsidRPr="00320AA1" w:rsidRDefault="00506006" w:rsidP="00104CE2">
      <w:pPr>
        <w:jc w:val="both"/>
        <w:rPr>
          <w:sz w:val="24"/>
          <w:szCs w:val="24"/>
        </w:rPr>
      </w:pPr>
      <w:r w:rsidRPr="00320AA1">
        <w:rPr>
          <w:i/>
          <w:iCs/>
          <w:sz w:val="24"/>
          <w:szCs w:val="24"/>
        </w:rPr>
        <w:t xml:space="preserve">40 CFR 60, Subpart JJJJ – Standards of Performance for Stationary Spark Ignition Internal Combustion Engines:  </w:t>
      </w:r>
      <w:r w:rsidRPr="00320AA1">
        <w:rPr>
          <w:sz w:val="24"/>
          <w:szCs w:val="24"/>
        </w:rPr>
        <w:t>this subpart applies to spark ignition engines.  Emission Points AA-012</w:t>
      </w:r>
      <w:r w:rsidR="008D152B">
        <w:rPr>
          <w:sz w:val="24"/>
          <w:szCs w:val="24"/>
        </w:rPr>
        <w:t xml:space="preserve">, </w:t>
      </w:r>
      <w:r w:rsidRPr="00320AA1">
        <w:rPr>
          <w:sz w:val="24"/>
          <w:szCs w:val="24"/>
        </w:rPr>
        <w:t>AA-013</w:t>
      </w:r>
      <w:r w:rsidR="008D152B">
        <w:rPr>
          <w:sz w:val="24"/>
          <w:szCs w:val="24"/>
        </w:rPr>
        <w:t>, and AA-017</w:t>
      </w:r>
      <w:r w:rsidRPr="00320AA1">
        <w:rPr>
          <w:sz w:val="24"/>
          <w:szCs w:val="24"/>
        </w:rPr>
        <w:t xml:space="preserve"> are spark ignition emergency engines; </w:t>
      </w:r>
      <w:proofErr w:type="gramStart"/>
      <w:r w:rsidRPr="00320AA1">
        <w:rPr>
          <w:sz w:val="24"/>
          <w:szCs w:val="24"/>
        </w:rPr>
        <w:t>therefore</w:t>
      </w:r>
      <w:proofErr w:type="gramEnd"/>
      <w:r w:rsidRPr="00320AA1">
        <w:rPr>
          <w:sz w:val="24"/>
          <w:szCs w:val="24"/>
        </w:rPr>
        <w:t xml:space="preserve"> this subpart does app</w:t>
      </w:r>
      <w:r w:rsidR="008D152B">
        <w:rPr>
          <w:sz w:val="24"/>
          <w:szCs w:val="24"/>
        </w:rPr>
        <w:t>l</w:t>
      </w:r>
      <w:r w:rsidRPr="00320AA1">
        <w:rPr>
          <w:sz w:val="24"/>
          <w:szCs w:val="24"/>
        </w:rPr>
        <w:t xml:space="preserve">y.  This subpart includes </w:t>
      </w:r>
      <w:r w:rsidR="00CC1E20" w:rsidRPr="00320AA1">
        <w:rPr>
          <w:sz w:val="24"/>
          <w:szCs w:val="24"/>
        </w:rPr>
        <w:t xml:space="preserve">conditions to monitor hours of emergency and non-emergency use through a non-resettable </w:t>
      </w:r>
      <w:proofErr w:type="gramStart"/>
      <w:r w:rsidR="00CC1E20" w:rsidRPr="00320AA1">
        <w:rPr>
          <w:sz w:val="24"/>
          <w:szCs w:val="24"/>
        </w:rPr>
        <w:t>hours</w:t>
      </w:r>
      <w:proofErr w:type="gramEnd"/>
      <w:r w:rsidR="00CC1E20" w:rsidRPr="00320AA1">
        <w:rPr>
          <w:sz w:val="24"/>
          <w:szCs w:val="24"/>
        </w:rPr>
        <w:t xml:space="preserve"> meter and emission standards based on the respective size of the engines.  The engines will meet these emission standards by being certified engines.</w:t>
      </w:r>
      <w:r w:rsidR="008D152B">
        <w:rPr>
          <w:sz w:val="24"/>
          <w:szCs w:val="24"/>
        </w:rPr>
        <w:t xml:space="preserve">  Emission Points AA-012 and AA-017 will meet the requirements for engines between 25 and 100 hp.  </w:t>
      </w:r>
      <w:r w:rsidR="008F1104">
        <w:rPr>
          <w:sz w:val="24"/>
          <w:szCs w:val="24"/>
        </w:rPr>
        <w:t>Emission Point AA-013 will meet the requirements for engines less than 25 hp.</w:t>
      </w:r>
    </w:p>
    <w:p w14:paraId="77F38EFD" w14:textId="77777777" w:rsidR="00AB6090" w:rsidRDefault="00AB6090" w:rsidP="00104CE2">
      <w:pPr>
        <w:jc w:val="both"/>
        <w:rPr>
          <w:sz w:val="24"/>
          <w:szCs w:val="24"/>
          <w:u w:val="single"/>
        </w:rPr>
      </w:pPr>
    </w:p>
    <w:p w14:paraId="1499F590" w14:textId="7184B9E4" w:rsidR="00531513" w:rsidRPr="00320AA1" w:rsidRDefault="00531513" w:rsidP="00320AA1">
      <w:pPr>
        <w:spacing w:after="12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SPECIFIC APPLICABLE REQUIREMENTS</w:t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2098"/>
        <w:gridCol w:w="1169"/>
        <w:gridCol w:w="2696"/>
        <w:gridCol w:w="2696"/>
      </w:tblGrid>
      <w:tr w:rsidR="00E00BB9" w:rsidRPr="00E15514" w14:paraId="683161E4" w14:textId="03733228" w:rsidTr="003335B3">
        <w:trPr>
          <w:tblHeader/>
          <w:jc w:val="center"/>
        </w:trPr>
        <w:tc>
          <w:tcPr>
            <w:tcW w:w="490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pct20" w:color="000000" w:fill="FFFFFF"/>
            <w:vAlign w:val="center"/>
          </w:tcPr>
          <w:p w14:paraId="42AD8549" w14:textId="77777777" w:rsidR="00E00BB9" w:rsidRPr="00E15514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E15514">
              <w:rPr>
                <w:b/>
                <w:bCs/>
                <w:sz w:val="18"/>
                <w:szCs w:val="18"/>
              </w:rPr>
              <w:t>Emission Point(s)</w:t>
            </w:r>
          </w:p>
        </w:tc>
        <w:tc>
          <w:tcPr>
            <w:tcW w:w="1093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pct20" w:color="000000" w:fill="FFFFFF"/>
            <w:vAlign w:val="center"/>
          </w:tcPr>
          <w:p w14:paraId="15DF2854" w14:textId="77777777" w:rsidR="00E00BB9" w:rsidRPr="00E15514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E15514">
              <w:rPr>
                <w:b/>
                <w:bCs/>
                <w:sz w:val="18"/>
                <w:szCs w:val="18"/>
              </w:rPr>
              <w:t>Applicable Requirement</w:t>
            </w:r>
          </w:p>
        </w:tc>
        <w:tc>
          <w:tcPr>
            <w:tcW w:w="60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pct20" w:color="000000" w:fill="FFFFFF"/>
            <w:vAlign w:val="center"/>
          </w:tcPr>
          <w:p w14:paraId="77DFFB7D" w14:textId="77777777" w:rsidR="00E00BB9" w:rsidRPr="00E15514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E15514">
              <w:rPr>
                <w:b/>
                <w:bCs/>
                <w:sz w:val="18"/>
                <w:szCs w:val="18"/>
              </w:rPr>
              <w:t>Pollutant/ Parameter</w:t>
            </w:r>
          </w:p>
        </w:tc>
        <w:tc>
          <w:tcPr>
            <w:tcW w:w="1404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pct20" w:color="000000" w:fill="FFFFFF"/>
            <w:vAlign w:val="center"/>
          </w:tcPr>
          <w:p w14:paraId="66BFD3E8" w14:textId="77777777" w:rsidR="00E00BB9" w:rsidRPr="00E15514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E15514">
              <w:rPr>
                <w:b/>
                <w:bCs/>
                <w:sz w:val="18"/>
                <w:szCs w:val="18"/>
              </w:rPr>
              <w:t>Limit/Standard</w:t>
            </w:r>
          </w:p>
        </w:tc>
        <w:tc>
          <w:tcPr>
            <w:tcW w:w="1404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pct20" w:color="000000" w:fill="FFFFFF"/>
            <w:vAlign w:val="center"/>
          </w:tcPr>
          <w:p w14:paraId="7557CE4B" w14:textId="2CBC630A" w:rsidR="00E00BB9" w:rsidRPr="00E15514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Monitoring Requirements</w:t>
            </w:r>
          </w:p>
        </w:tc>
      </w:tr>
      <w:tr w:rsidR="00E00BB9" w14:paraId="1D073396" w14:textId="56E1A267" w:rsidTr="003335B3">
        <w:trPr>
          <w:jc w:val="center"/>
        </w:trPr>
        <w:tc>
          <w:tcPr>
            <w:tcW w:w="49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855646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AA-100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B8B3B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Miss. Admin. Code Pt. 2, R. 1.3.F(1).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043B4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(filterable)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212C6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 = 4.1 × p</w:t>
            </w:r>
            <w:r w:rsidRPr="003C2590">
              <w:rPr>
                <w:sz w:val="18"/>
                <w:szCs w:val="18"/>
                <w:vertAlign w:val="superscript"/>
              </w:rPr>
              <w:t>0.67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02FB2" w14:textId="5F21A4CE" w:rsidR="00E00BB9" w:rsidRDefault="0066472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Monthly inspections on cyclones</w:t>
            </w:r>
          </w:p>
        </w:tc>
      </w:tr>
      <w:tr w:rsidR="00E00BB9" w14:paraId="7B3BE4F6" w14:textId="0A3B7D8D" w:rsidTr="003335B3">
        <w:trPr>
          <w:jc w:val="center"/>
        </w:trPr>
        <w:tc>
          <w:tcPr>
            <w:tcW w:w="49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852CC7F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09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B7BF728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Miss. Admin. Code Pt. 2, R. 2.2.B(10)., as established in Permit to Construct issued October 3, 2023</w:t>
            </w:r>
          </w:p>
          <w:p w14:paraId="3DC59D43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(Major Source Avoidance Limits)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1FF08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Methanol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1AF3A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0.18 lb/MBF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C4CFC" w14:textId="7E9EDC0F" w:rsidR="00E00BB9" w:rsidRDefault="00FA103C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MBF</w:t>
            </w:r>
          </w:p>
        </w:tc>
      </w:tr>
      <w:tr w:rsidR="003335B3" w14:paraId="47433100" w14:textId="0A373177" w:rsidTr="003335B3">
        <w:trPr>
          <w:jc w:val="center"/>
        </w:trPr>
        <w:tc>
          <w:tcPr>
            <w:tcW w:w="49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3CBA79B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09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6E9B10F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EEC6B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HAP (individual)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0810A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9.90 tpy</w:t>
            </w:r>
          </w:p>
        </w:tc>
        <w:tc>
          <w:tcPr>
            <w:tcW w:w="140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271521D" w14:textId="7EA44890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Monitoring and recordkeeping</w:t>
            </w:r>
          </w:p>
        </w:tc>
      </w:tr>
      <w:tr w:rsidR="003335B3" w14:paraId="4BDE48AD" w14:textId="6F395D67" w:rsidTr="003335B3">
        <w:trPr>
          <w:jc w:val="center"/>
        </w:trPr>
        <w:tc>
          <w:tcPr>
            <w:tcW w:w="49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BBB11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09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474DB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10C9F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HAP (total)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E0AB9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24.90 tpy</w:t>
            </w:r>
          </w:p>
        </w:tc>
        <w:tc>
          <w:tcPr>
            <w:tcW w:w="140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1310E" w14:textId="77777777" w:rsidR="003335B3" w:rsidRDefault="003335B3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</w:p>
        </w:tc>
      </w:tr>
      <w:tr w:rsidR="00E00BB9" w14:paraId="75CE4FDF" w14:textId="1AADBE03" w:rsidTr="003335B3">
        <w:trPr>
          <w:jc w:val="center"/>
        </w:trPr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6FD26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AA-001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A6EA7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Miss. Admin. Code Pt. 2, R. 2.2.B(</w:t>
            </w:r>
            <w:proofErr w:type="gramStart"/>
            <w:r>
              <w:rPr>
                <w:sz w:val="18"/>
                <w:szCs w:val="18"/>
              </w:rPr>
              <w:t>10).</w:t>
            </w:r>
            <w:proofErr w:type="gramEnd"/>
            <w:r>
              <w:rPr>
                <w:sz w:val="18"/>
                <w:szCs w:val="18"/>
              </w:rPr>
              <w:t>, as established in Permit to Construct issued August 6, 1998</w:t>
            </w:r>
          </w:p>
          <w:p w14:paraId="13F3B9F6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(“Moderate Source” Limit)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85A99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(filterable)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89EE3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9.05 lb/</w:t>
            </w:r>
            <w:proofErr w:type="spellStart"/>
            <w:r>
              <w:rPr>
                <w:sz w:val="18"/>
                <w:szCs w:val="18"/>
              </w:rPr>
              <w:t>hr</w:t>
            </w:r>
            <w:proofErr w:type="spellEnd"/>
          </w:p>
          <w:p w14:paraId="69943551" w14:textId="77777777" w:rsidR="00E00BB9" w:rsidRDefault="00E00BB9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39.6 tpy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F29A5" w14:textId="0CF823C9" w:rsidR="00E00BB9" w:rsidRDefault="00FC48D2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Stack testing </w:t>
            </w:r>
            <w:r w:rsidR="002A2086">
              <w:rPr>
                <w:sz w:val="18"/>
                <w:szCs w:val="18"/>
              </w:rPr>
              <w:t>once in the duration of the TV permit</w:t>
            </w:r>
          </w:p>
        </w:tc>
      </w:tr>
      <w:tr w:rsidR="00135E91" w14:paraId="63C361A5" w14:textId="087CB37B" w:rsidTr="003D05D8">
        <w:trPr>
          <w:jc w:val="center"/>
        </w:trPr>
        <w:tc>
          <w:tcPr>
            <w:tcW w:w="490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3C2D5247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AA-014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BA4862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Miss. Admin. Code </w:t>
            </w:r>
            <w:r>
              <w:rPr>
                <w:sz w:val="18"/>
                <w:szCs w:val="18"/>
              </w:rPr>
              <w:lastRenderedPageBreak/>
              <w:t>Pt. 2, R. 2.2.B(10)., as established in Permit to Construct issued October 3, 2023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787FA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Fuel Source </w:t>
            </w:r>
            <w:r>
              <w:rPr>
                <w:sz w:val="18"/>
                <w:szCs w:val="18"/>
              </w:rPr>
              <w:lastRenderedPageBreak/>
              <w:t>Restriction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853CB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Combust uncontaminated wood </w:t>
            </w:r>
            <w:r>
              <w:rPr>
                <w:sz w:val="18"/>
                <w:szCs w:val="18"/>
              </w:rPr>
              <w:lastRenderedPageBreak/>
              <w:t>waste</w:t>
            </w:r>
          </w:p>
        </w:tc>
        <w:tc>
          <w:tcPr>
            <w:tcW w:w="140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FE3A3E" w14:textId="4FED6681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Monitor throughput</w:t>
            </w:r>
          </w:p>
        </w:tc>
      </w:tr>
      <w:tr w:rsidR="00135E91" w14:paraId="0B675253" w14:textId="2E0E7FA2" w:rsidTr="003D05D8">
        <w:trPr>
          <w:jc w:val="center"/>
        </w:trPr>
        <w:tc>
          <w:tcPr>
            <w:tcW w:w="490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985DB0B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093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7F31289B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Miss. Admin. Code Pt. 2, R. 2.2.B(10)., as established in Permit to Construct issued October 3, 2023</w:t>
            </w:r>
          </w:p>
          <w:p w14:paraId="1BEFCCEE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(PSD Avoidance Limit)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D3B46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VOCs</w:t>
            </w:r>
          </w:p>
          <w:p w14:paraId="4EC7C020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(was WPP1)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26157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4.52 lb/MBF</w:t>
            </w:r>
          </w:p>
          <w:p w14:paraId="21FD3F04" w14:textId="1710DE7B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248.6 tpy</w:t>
            </w:r>
          </w:p>
        </w:tc>
        <w:tc>
          <w:tcPr>
            <w:tcW w:w="140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D43384C" w14:textId="1A5B2FC3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</w:p>
        </w:tc>
      </w:tr>
      <w:tr w:rsidR="00135E91" w14:paraId="5CB29D62" w14:textId="76F8F6FA" w:rsidTr="00C20330">
        <w:trPr>
          <w:jc w:val="center"/>
        </w:trPr>
        <w:tc>
          <w:tcPr>
            <w:tcW w:w="49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DF3C6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09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DC08F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D5860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Lumber Throughput</w:t>
            </w:r>
          </w:p>
        </w:tc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41267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110,000.0 MBF/yr</w:t>
            </w:r>
          </w:p>
        </w:tc>
        <w:tc>
          <w:tcPr>
            <w:tcW w:w="140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7BCE5" w14:textId="77777777" w:rsidR="00135E91" w:rsidRDefault="00135E91" w:rsidP="003335B3">
            <w:pPr>
              <w:tabs>
                <w:tab w:val="left" w:pos="-1213"/>
                <w:tab w:val="left" w:pos="-720"/>
                <w:tab w:val="left" w:pos="0"/>
                <w:tab w:val="left" w:pos="810"/>
              </w:tabs>
              <w:spacing w:before="60" w:after="60"/>
              <w:rPr>
                <w:sz w:val="18"/>
                <w:szCs w:val="18"/>
              </w:rPr>
            </w:pPr>
          </w:p>
        </w:tc>
      </w:tr>
    </w:tbl>
    <w:p w14:paraId="49605C65" w14:textId="77777777" w:rsidR="00E00BB9" w:rsidRDefault="00E00BB9" w:rsidP="00531513">
      <w:pPr>
        <w:rPr>
          <w:sz w:val="24"/>
          <w:szCs w:val="24"/>
        </w:rPr>
      </w:pPr>
    </w:p>
    <w:p w14:paraId="022AE55B" w14:textId="77777777" w:rsidR="00E00BB9" w:rsidRDefault="00E00BB9" w:rsidP="00531513">
      <w:pPr>
        <w:rPr>
          <w:sz w:val="24"/>
          <w:szCs w:val="24"/>
        </w:rPr>
      </w:pPr>
    </w:p>
    <w:p w14:paraId="716E5320" w14:textId="77777777" w:rsidR="00531513" w:rsidRDefault="00531513" w:rsidP="00104CE2">
      <w:pPr>
        <w:tabs>
          <w:tab w:val="left" w:pos="-1123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1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sz w:val="24"/>
          <w:szCs w:val="24"/>
          <w:u w:val="single"/>
        </w:rPr>
      </w:pPr>
      <w:r w:rsidRPr="0048090B">
        <w:rPr>
          <w:sz w:val="24"/>
          <w:szCs w:val="24"/>
          <w:u w:val="single"/>
        </w:rPr>
        <w:t xml:space="preserve">OTHER </w:t>
      </w:r>
      <w:r w:rsidR="0048090B" w:rsidRPr="0048090B">
        <w:rPr>
          <w:sz w:val="24"/>
          <w:szCs w:val="24"/>
          <w:u w:val="single"/>
        </w:rPr>
        <w:t>REQUIREMENTS</w:t>
      </w:r>
      <w:r w:rsidRPr="0048090B">
        <w:rPr>
          <w:sz w:val="24"/>
          <w:szCs w:val="24"/>
          <w:u w:val="single"/>
        </w:rPr>
        <w:t>:</w:t>
      </w:r>
    </w:p>
    <w:p w14:paraId="3077ED35" w14:textId="26DA9D22" w:rsidR="0048090B" w:rsidRPr="00320AA1" w:rsidRDefault="00320AA1" w:rsidP="00104CE2">
      <w:pPr>
        <w:tabs>
          <w:tab w:val="left" w:pos="-1123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1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sz w:val="24"/>
          <w:szCs w:val="24"/>
        </w:rPr>
      </w:pPr>
      <w:r w:rsidRPr="00320AA1">
        <w:rPr>
          <w:sz w:val="24"/>
          <w:szCs w:val="24"/>
        </w:rPr>
        <w:t>N/A</w:t>
      </w:r>
    </w:p>
    <w:p w14:paraId="03D3EA64" w14:textId="77777777" w:rsidR="00BA3BCF" w:rsidRDefault="00BA3BCF" w:rsidP="00104CE2">
      <w:pPr>
        <w:tabs>
          <w:tab w:val="left" w:pos="-1123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1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sz w:val="24"/>
          <w:szCs w:val="24"/>
        </w:rPr>
      </w:pPr>
    </w:p>
    <w:p w14:paraId="73D3B386" w14:textId="77777777" w:rsidR="00BA3BCF" w:rsidRPr="00BA3BCF" w:rsidRDefault="00BA3BCF" w:rsidP="00BA3BCF">
      <w:pPr>
        <w:tabs>
          <w:tab w:val="left" w:pos="-1123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1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sz w:val="32"/>
          <w:szCs w:val="24"/>
        </w:rPr>
      </w:pPr>
    </w:p>
    <w:sectPr w:rsidR="00BA3BCF" w:rsidRPr="00BA3BCF" w:rsidSect="00421490">
      <w:headerReference w:type="default" r:id="rId7"/>
      <w:footerReference w:type="default" r:id="rId8"/>
      <w:pgSz w:w="12240" w:h="15840" w:code="1"/>
      <w:pgMar w:top="1440" w:right="1440" w:bottom="1440" w:left="1440" w:header="432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CA101" w14:textId="77777777" w:rsidR="00E35B6E" w:rsidRDefault="00E35B6E">
      <w:r>
        <w:separator/>
      </w:r>
    </w:p>
  </w:endnote>
  <w:endnote w:type="continuationSeparator" w:id="0">
    <w:p w14:paraId="3A1BD4C4" w14:textId="77777777" w:rsidR="00E35B6E" w:rsidRDefault="00E3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F7595" w14:textId="77777777" w:rsidR="005E1C12" w:rsidRDefault="005E1C12">
    <w:pPr>
      <w:pStyle w:val="Footer"/>
      <w:tabs>
        <w:tab w:val="clear" w:pos="8640"/>
        <w:tab w:val="right" w:pos="9270"/>
      </w:tabs>
    </w:pPr>
    <w:bookmarkStart w:id="0" w:name="aiid"/>
    <w:r w:rsidRPr="00AA0887">
      <w:rPr>
        <w:sz w:val="24"/>
      </w:rPr>
      <w:t>3833</w:t>
    </w:r>
    <w:bookmarkEnd w:id="0"/>
    <w:r w:rsidRPr="00AA0887">
      <w:rPr>
        <w:sz w:val="24"/>
      </w:rPr>
      <w:t xml:space="preserve"> PER20240001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4462" w14:textId="77777777" w:rsidR="00E35B6E" w:rsidRDefault="00E35B6E">
      <w:r>
        <w:separator/>
      </w:r>
    </w:p>
  </w:footnote>
  <w:footnote w:type="continuationSeparator" w:id="0">
    <w:p w14:paraId="6B5FE49B" w14:textId="77777777" w:rsidR="00E35B6E" w:rsidRDefault="00E3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DEA2E" w14:textId="77777777" w:rsidR="00BC4760" w:rsidRPr="00BC4760" w:rsidRDefault="00BC4760">
    <w:pPr>
      <w:pStyle w:val="Header"/>
      <w:jc w:val="right"/>
      <w:rPr>
        <w:sz w:val="24"/>
        <w:szCs w:val="24"/>
      </w:rPr>
    </w:pPr>
    <w:r w:rsidRPr="00BC4760">
      <w:rPr>
        <w:sz w:val="24"/>
        <w:szCs w:val="24"/>
      </w:rPr>
      <w:t>Information Relative to the Title V Permit</w:t>
    </w:r>
  </w:p>
  <w:p w14:paraId="643D8B0D" w14:textId="77777777" w:rsidR="00BC4760" w:rsidRDefault="00BC4760">
    <w:pPr>
      <w:pStyle w:val="Header"/>
      <w:jc w:val="right"/>
    </w:pPr>
    <w:r w:rsidRPr="00BC4760">
      <w:rPr>
        <w:sz w:val="24"/>
        <w:szCs w:val="24"/>
      </w:rPr>
      <w:t xml:space="preserve">Page </w:t>
    </w:r>
    <w:r w:rsidRPr="00BC4760">
      <w:rPr>
        <w:bCs/>
        <w:sz w:val="24"/>
        <w:szCs w:val="24"/>
      </w:rPr>
      <w:fldChar w:fldCharType="begin"/>
    </w:r>
    <w:r w:rsidRPr="00BC4760">
      <w:rPr>
        <w:bCs/>
        <w:sz w:val="24"/>
        <w:szCs w:val="24"/>
      </w:rPr>
      <w:instrText xml:space="preserve"> PAGE </w:instrText>
    </w:r>
    <w:r w:rsidRPr="00BC4760">
      <w:rPr>
        <w:bCs/>
        <w:sz w:val="24"/>
        <w:szCs w:val="24"/>
      </w:rPr>
      <w:fldChar w:fldCharType="separate"/>
    </w:r>
    <w:r w:rsidR="008A385B">
      <w:rPr>
        <w:bCs/>
        <w:noProof/>
        <w:sz w:val="24"/>
        <w:szCs w:val="24"/>
      </w:rPr>
      <w:t>4</w:t>
    </w:r>
    <w:r w:rsidRPr="00BC4760">
      <w:rPr>
        <w:bCs/>
        <w:sz w:val="24"/>
        <w:szCs w:val="24"/>
      </w:rPr>
      <w:fldChar w:fldCharType="end"/>
    </w:r>
    <w:r w:rsidRPr="00BC4760">
      <w:rPr>
        <w:sz w:val="24"/>
        <w:szCs w:val="24"/>
      </w:rPr>
      <w:t xml:space="preserve"> of </w:t>
    </w:r>
    <w:r w:rsidRPr="00BC4760">
      <w:rPr>
        <w:bCs/>
        <w:sz w:val="24"/>
        <w:szCs w:val="24"/>
      </w:rPr>
      <w:fldChar w:fldCharType="begin"/>
    </w:r>
    <w:r w:rsidRPr="00BC4760">
      <w:rPr>
        <w:bCs/>
        <w:sz w:val="24"/>
        <w:szCs w:val="24"/>
      </w:rPr>
      <w:instrText xml:space="preserve"> NUMPAGES  </w:instrText>
    </w:r>
    <w:r w:rsidRPr="00BC4760">
      <w:rPr>
        <w:bCs/>
        <w:sz w:val="24"/>
        <w:szCs w:val="24"/>
      </w:rPr>
      <w:fldChar w:fldCharType="separate"/>
    </w:r>
    <w:r w:rsidR="008A385B">
      <w:rPr>
        <w:bCs/>
        <w:noProof/>
        <w:sz w:val="24"/>
        <w:szCs w:val="24"/>
      </w:rPr>
      <w:t>4</w:t>
    </w:r>
    <w:r w:rsidRPr="00BC4760">
      <w:rPr>
        <w:bCs/>
        <w:sz w:val="24"/>
        <w:szCs w:val="24"/>
      </w:rPr>
      <w:fldChar w:fldCharType="end"/>
    </w:r>
  </w:p>
  <w:p w14:paraId="280C4F3C" w14:textId="77777777" w:rsidR="00BC4760" w:rsidRDefault="00BC4760" w:rsidP="00BC476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911"/>
    <w:multiLevelType w:val="multilevel"/>
    <w:tmpl w:val="FFFFFFFF"/>
    <w:lvl w:ilvl="0">
      <w:start w:val="1"/>
      <w:numFmt w:val="decimal"/>
      <w:suff w:val="nothing"/>
      <w:lvlText w:val="SECTION %1 - 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Gener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AD00E86"/>
    <w:multiLevelType w:val="multilevel"/>
    <w:tmpl w:val="FFFFFFFF"/>
    <w:lvl w:ilvl="0">
      <w:start w:val="4"/>
      <w:numFmt w:val="decimal"/>
      <w:suff w:val="nothing"/>
      <w:lvlText w:val="SECTION %1 - 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ComplianceSchedule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60606BC"/>
    <w:multiLevelType w:val="hybridMultilevel"/>
    <w:tmpl w:val="FFFFFFFF"/>
    <w:lvl w:ilvl="0" w:tplc="607014B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51164B"/>
    <w:multiLevelType w:val="multilevel"/>
    <w:tmpl w:val="FFFFFFFF"/>
    <w:lvl w:ilvl="0">
      <w:start w:val="6"/>
      <w:numFmt w:val="decimal"/>
      <w:suff w:val="nothing"/>
      <w:lvlText w:val="SECTION %1 - 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0BA042C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36DF40CE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2E73919"/>
    <w:multiLevelType w:val="multilevel"/>
    <w:tmpl w:val="FFFFFFFF"/>
    <w:lvl w:ilvl="0">
      <w:start w:val="1"/>
      <w:numFmt w:val="decimal"/>
      <w:suff w:val="nothing"/>
      <w:lvlText w:val="SECTION %1 - 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WorkPracticeStandards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lowerLetter"/>
      <w:lvlText w:val="(%6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7200334E"/>
    <w:multiLevelType w:val="hybridMultilevel"/>
    <w:tmpl w:val="FFFFFFFF"/>
    <w:lvl w:ilvl="0" w:tplc="4E80DE5C">
      <w:start w:val="1"/>
      <w:numFmt w:val="lowerLetter"/>
      <w:lvlText w:val="(%1)"/>
      <w:lvlJc w:val="left"/>
      <w:pPr>
        <w:ind w:left="25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 w16cid:durableId="1302418119">
    <w:abstractNumId w:val="5"/>
  </w:num>
  <w:num w:numId="2" w16cid:durableId="1952742417">
    <w:abstractNumId w:val="2"/>
  </w:num>
  <w:num w:numId="3" w16cid:durableId="1222133185">
    <w:abstractNumId w:val="0"/>
  </w:num>
  <w:num w:numId="4" w16cid:durableId="1281843741">
    <w:abstractNumId w:val="6"/>
  </w:num>
  <w:num w:numId="5" w16cid:durableId="835420001">
    <w:abstractNumId w:val="1"/>
  </w:num>
  <w:num w:numId="6" w16cid:durableId="1606764750">
    <w:abstractNumId w:val="3"/>
  </w:num>
  <w:num w:numId="7" w16cid:durableId="878132367">
    <w:abstractNumId w:val="4"/>
  </w:num>
  <w:num w:numId="8" w16cid:durableId="889360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A1E5D"/>
    <w:rsid w:val="000146BF"/>
    <w:rsid w:val="00020A1D"/>
    <w:rsid w:val="0002459F"/>
    <w:rsid w:val="00033B2A"/>
    <w:rsid w:val="0005117D"/>
    <w:rsid w:val="00066F70"/>
    <w:rsid w:val="00083009"/>
    <w:rsid w:val="000C10C1"/>
    <w:rsid w:val="000E7A3A"/>
    <w:rsid w:val="00104CE2"/>
    <w:rsid w:val="00116779"/>
    <w:rsid w:val="00135E91"/>
    <w:rsid w:val="00141F9A"/>
    <w:rsid w:val="00151AE0"/>
    <w:rsid w:val="001617AD"/>
    <w:rsid w:val="00161C17"/>
    <w:rsid w:val="0018210B"/>
    <w:rsid w:val="001A0168"/>
    <w:rsid w:val="001A3274"/>
    <w:rsid w:val="001B7CEC"/>
    <w:rsid w:val="001D736D"/>
    <w:rsid w:val="001D74F5"/>
    <w:rsid w:val="002109C2"/>
    <w:rsid w:val="00213044"/>
    <w:rsid w:val="002177C8"/>
    <w:rsid w:val="00226D99"/>
    <w:rsid w:val="0023465D"/>
    <w:rsid w:val="0025327D"/>
    <w:rsid w:val="00272DF9"/>
    <w:rsid w:val="00280FAA"/>
    <w:rsid w:val="002A2086"/>
    <w:rsid w:val="002A62E3"/>
    <w:rsid w:val="002A71C6"/>
    <w:rsid w:val="002C5E31"/>
    <w:rsid w:val="002D58EE"/>
    <w:rsid w:val="002E2B49"/>
    <w:rsid w:val="00301DC2"/>
    <w:rsid w:val="00320AA1"/>
    <w:rsid w:val="0032717A"/>
    <w:rsid w:val="003335B3"/>
    <w:rsid w:val="003569E6"/>
    <w:rsid w:val="00384767"/>
    <w:rsid w:val="003A4126"/>
    <w:rsid w:val="003C2807"/>
    <w:rsid w:val="003E1CD8"/>
    <w:rsid w:val="003F6088"/>
    <w:rsid w:val="003F7CF6"/>
    <w:rsid w:val="00421490"/>
    <w:rsid w:val="00430F3D"/>
    <w:rsid w:val="00454300"/>
    <w:rsid w:val="00461018"/>
    <w:rsid w:val="004622D7"/>
    <w:rsid w:val="00471345"/>
    <w:rsid w:val="004762D3"/>
    <w:rsid w:val="00476D3E"/>
    <w:rsid w:val="0048090B"/>
    <w:rsid w:val="00491802"/>
    <w:rsid w:val="0049771A"/>
    <w:rsid w:val="004C40B7"/>
    <w:rsid w:val="004C76AA"/>
    <w:rsid w:val="004E2A6B"/>
    <w:rsid w:val="00502BDC"/>
    <w:rsid w:val="00505337"/>
    <w:rsid w:val="00506006"/>
    <w:rsid w:val="00531513"/>
    <w:rsid w:val="00533EFC"/>
    <w:rsid w:val="00573932"/>
    <w:rsid w:val="0057731E"/>
    <w:rsid w:val="00577CB8"/>
    <w:rsid w:val="00583BF6"/>
    <w:rsid w:val="00595509"/>
    <w:rsid w:val="005C46A6"/>
    <w:rsid w:val="005D0C80"/>
    <w:rsid w:val="005D7E4C"/>
    <w:rsid w:val="005E1C12"/>
    <w:rsid w:val="005F6106"/>
    <w:rsid w:val="0062514C"/>
    <w:rsid w:val="00664729"/>
    <w:rsid w:val="00665743"/>
    <w:rsid w:val="00676F08"/>
    <w:rsid w:val="00681AD1"/>
    <w:rsid w:val="0069240F"/>
    <w:rsid w:val="006A2FCD"/>
    <w:rsid w:val="006A52EB"/>
    <w:rsid w:val="006D4AA1"/>
    <w:rsid w:val="006D6F13"/>
    <w:rsid w:val="006E74C7"/>
    <w:rsid w:val="006F0510"/>
    <w:rsid w:val="00721DCC"/>
    <w:rsid w:val="0072616E"/>
    <w:rsid w:val="0076636C"/>
    <w:rsid w:val="00772C15"/>
    <w:rsid w:val="007C1397"/>
    <w:rsid w:val="007D59A6"/>
    <w:rsid w:val="007E6D99"/>
    <w:rsid w:val="00850E46"/>
    <w:rsid w:val="00852478"/>
    <w:rsid w:val="00857094"/>
    <w:rsid w:val="00860EA1"/>
    <w:rsid w:val="0086140E"/>
    <w:rsid w:val="008751D1"/>
    <w:rsid w:val="00882403"/>
    <w:rsid w:val="00883D77"/>
    <w:rsid w:val="0089117D"/>
    <w:rsid w:val="008A000E"/>
    <w:rsid w:val="008A04F8"/>
    <w:rsid w:val="008A1F39"/>
    <w:rsid w:val="008A385B"/>
    <w:rsid w:val="008D152B"/>
    <w:rsid w:val="008D76D9"/>
    <w:rsid w:val="008F1104"/>
    <w:rsid w:val="00900E96"/>
    <w:rsid w:val="00913A3B"/>
    <w:rsid w:val="009152E1"/>
    <w:rsid w:val="00931110"/>
    <w:rsid w:val="00934A58"/>
    <w:rsid w:val="00941800"/>
    <w:rsid w:val="00951761"/>
    <w:rsid w:val="009733EB"/>
    <w:rsid w:val="00982AF3"/>
    <w:rsid w:val="00984B3A"/>
    <w:rsid w:val="00991620"/>
    <w:rsid w:val="009A1105"/>
    <w:rsid w:val="009A1E5D"/>
    <w:rsid w:val="009E3C18"/>
    <w:rsid w:val="00A03FF7"/>
    <w:rsid w:val="00A062A0"/>
    <w:rsid w:val="00A219FF"/>
    <w:rsid w:val="00A31F25"/>
    <w:rsid w:val="00A35286"/>
    <w:rsid w:val="00A52D8F"/>
    <w:rsid w:val="00A6534C"/>
    <w:rsid w:val="00A97B05"/>
    <w:rsid w:val="00AA0887"/>
    <w:rsid w:val="00AB348F"/>
    <w:rsid w:val="00AB6090"/>
    <w:rsid w:val="00AD7559"/>
    <w:rsid w:val="00AE4F70"/>
    <w:rsid w:val="00B14B3F"/>
    <w:rsid w:val="00B14D72"/>
    <w:rsid w:val="00B16B41"/>
    <w:rsid w:val="00B80DF5"/>
    <w:rsid w:val="00BA35A4"/>
    <w:rsid w:val="00BA3BCF"/>
    <w:rsid w:val="00BC4760"/>
    <w:rsid w:val="00BE01B2"/>
    <w:rsid w:val="00BE48EC"/>
    <w:rsid w:val="00BF16FD"/>
    <w:rsid w:val="00C159FA"/>
    <w:rsid w:val="00C24D75"/>
    <w:rsid w:val="00C41ED6"/>
    <w:rsid w:val="00C50599"/>
    <w:rsid w:val="00C53F3A"/>
    <w:rsid w:val="00C55969"/>
    <w:rsid w:val="00C72133"/>
    <w:rsid w:val="00CB077D"/>
    <w:rsid w:val="00CB37B4"/>
    <w:rsid w:val="00CC139A"/>
    <w:rsid w:val="00CC1957"/>
    <w:rsid w:val="00CC1E20"/>
    <w:rsid w:val="00CC50DA"/>
    <w:rsid w:val="00CE3985"/>
    <w:rsid w:val="00CF6784"/>
    <w:rsid w:val="00D0538F"/>
    <w:rsid w:val="00D06EE9"/>
    <w:rsid w:val="00D17601"/>
    <w:rsid w:val="00D42DEA"/>
    <w:rsid w:val="00D62E13"/>
    <w:rsid w:val="00D67C69"/>
    <w:rsid w:val="00D7182F"/>
    <w:rsid w:val="00D90B30"/>
    <w:rsid w:val="00D90F67"/>
    <w:rsid w:val="00DD48FE"/>
    <w:rsid w:val="00DD5DF1"/>
    <w:rsid w:val="00DF31AD"/>
    <w:rsid w:val="00E00BB9"/>
    <w:rsid w:val="00E0168A"/>
    <w:rsid w:val="00E03D2E"/>
    <w:rsid w:val="00E301F5"/>
    <w:rsid w:val="00E302DE"/>
    <w:rsid w:val="00E32C65"/>
    <w:rsid w:val="00E35B6E"/>
    <w:rsid w:val="00E43FF4"/>
    <w:rsid w:val="00E60EA3"/>
    <w:rsid w:val="00E73B03"/>
    <w:rsid w:val="00E76429"/>
    <w:rsid w:val="00E77C66"/>
    <w:rsid w:val="00EA6AF2"/>
    <w:rsid w:val="00ED2C87"/>
    <w:rsid w:val="00ED6D14"/>
    <w:rsid w:val="00ED7FE3"/>
    <w:rsid w:val="00F13398"/>
    <w:rsid w:val="00F16097"/>
    <w:rsid w:val="00F2153D"/>
    <w:rsid w:val="00F47A0E"/>
    <w:rsid w:val="00F605EA"/>
    <w:rsid w:val="00F83CBF"/>
    <w:rsid w:val="00FA103C"/>
    <w:rsid w:val="00FC0485"/>
    <w:rsid w:val="00FC48D2"/>
    <w:rsid w:val="00FD24FC"/>
    <w:rsid w:val="00FD3166"/>
    <w:rsid w:val="00FF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CCD149"/>
  <w14:defaultImageDpi w14:val="0"/>
  <w15:docId w15:val="{018BA314-B537-49BD-9E54-74B0C427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widowControl w:val="0"/>
      <w:tabs>
        <w:tab w:val="left" w:pos="90"/>
      </w:tabs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widowControl w:val="0"/>
      <w:tabs>
        <w:tab w:val="left" w:pos="4860"/>
      </w:tabs>
      <w:spacing w:after="240"/>
      <w:ind w:left="4867"/>
      <w:outlineLvl w:val="2"/>
    </w:pPr>
    <w:rPr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4320"/>
      </w:tabs>
      <w:ind w:left="4320" w:hanging="461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Arial" w:hAnsi="Arial" w:cs="Arial"/>
      <w:b/>
      <w:bCs/>
      <w:color w:val="FFFFFF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4320"/>
        <w:tab w:val="left" w:pos="4860"/>
        <w:tab w:val="left" w:pos="5220"/>
      </w:tabs>
      <w:ind w:left="36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tabs>
        <w:tab w:val="left" w:pos="90"/>
      </w:tabs>
      <w:jc w:val="center"/>
      <w:outlineLvl w:val="7"/>
    </w:pPr>
    <w:rPr>
      <w:b/>
      <w:bCs/>
      <w:sz w:val="24"/>
      <w:szCs w:val="24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tabs>
        <w:tab w:val="left" w:pos="90"/>
      </w:tabs>
      <w:outlineLvl w:val="8"/>
    </w:pPr>
    <w:rPr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Pr>
      <w:rFonts w:asciiTheme="minorHAnsi" w:eastAsiaTheme="minorEastAsia" w:hAnsiTheme="minorHAns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Pr>
      <w:rFonts w:asciiTheme="majorHAnsi" w:eastAsiaTheme="majorEastAsia" w:hAnsiTheme="majorHAnsi" w:cs="Times New Roman"/>
    </w:rPr>
  </w:style>
  <w:style w:type="paragraph" w:styleId="BodyText">
    <w:name w:val="Body Text"/>
    <w:basedOn w:val="Normal"/>
    <w:link w:val="BodyTextChar"/>
    <w:uiPriority w:val="99"/>
    <w:pPr>
      <w:widowControl w:val="0"/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tabs>
        <w:tab w:val="left" w:pos="900"/>
      </w:tabs>
      <w:spacing w:before="120" w:after="120"/>
      <w:jc w:val="both"/>
    </w:pPr>
    <w:rPr>
      <w:color w:val="00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</w:rPr>
  </w:style>
  <w:style w:type="paragraph" w:customStyle="1" w:styleId="ReferenceLine">
    <w:name w:val="Reference Line"/>
    <w:basedOn w:val="BodyText"/>
    <w:uiPriority w:val="99"/>
  </w:style>
  <w:style w:type="paragraph" w:customStyle="1" w:styleId="CcList">
    <w:name w:val="Cc List"/>
    <w:basedOn w:val="Normal"/>
    <w:uiPriority w:val="99"/>
    <w:pPr>
      <w:widowControl w:val="0"/>
    </w:pPr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pPr>
      <w:widowControl w:val="0"/>
      <w:tabs>
        <w:tab w:val="left" w:pos="90"/>
      </w:tabs>
      <w:spacing w:after="240"/>
    </w:pPr>
    <w:rPr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5220"/>
      </w:tabs>
      <w:ind w:left="43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pPr>
      <w:tabs>
        <w:tab w:val="left" w:pos="5220"/>
      </w:tabs>
      <w:ind w:left="4320"/>
    </w:pPr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customStyle="1" w:styleId="1">
    <w:name w:val="1"/>
    <w:aliases w:val="2,3"/>
    <w:uiPriority w:val="99"/>
    <w:pPr>
      <w:autoSpaceDE w:val="0"/>
      <w:autoSpaceDN w:val="0"/>
      <w:spacing w:after="0" w:line="240" w:lineRule="auto"/>
      <w:ind w:left="720"/>
    </w:pPr>
    <w:rPr>
      <w:rFonts w:ascii="CG Times" w:hAnsi="CG Times" w:cs="CG Times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C04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6101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1018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6101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0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61018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rsid w:val="006A52EB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uiPriority w:val="99"/>
    <w:semiHidden/>
    <w:rsid w:val="00E00BB9"/>
    <w:rPr>
      <w:rFonts w:cs="Times New Roman"/>
    </w:rPr>
  </w:style>
  <w:style w:type="paragraph" w:styleId="TOC1">
    <w:name w:val="toc 1"/>
    <w:basedOn w:val="Normal"/>
    <w:next w:val="Normal"/>
    <w:autoRedefine/>
    <w:uiPriority w:val="99"/>
    <w:semiHidden/>
    <w:rsid w:val="00E00BB9"/>
    <w:pPr>
      <w:widowControl w:val="0"/>
      <w:jc w:val="both"/>
    </w:pPr>
    <w:rPr>
      <w:sz w:val="24"/>
      <w:szCs w:val="24"/>
    </w:rPr>
  </w:style>
  <w:style w:type="paragraph" w:customStyle="1" w:styleId="TitleVIRequirements">
    <w:name w:val="Title VI Requirements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sz w:val="24"/>
      <w:szCs w:val="24"/>
    </w:rPr>
  </w:style>
  <w:style w:type="paragraph" w:customStyle="1" w:styleId="AlternativeScenarios">
    <w:name w:val="Alternative Scenarios"/>
    <w:basedOn w:val="TitleVIRequirements"/>
    <w:uiPriority w:val="99"/>
    <w:rsid w:val="00E00BB9"/>
    <w:rPr>
      <w:b/>
      <w:bCs/>
    </w:rPr>
  </w:style>
  <w:style w:type="paragraph" w:customStyle="1" w:styleId="General">
    <w:name w:val="General"/>
    <w:basedOn w:val="Normal"/>
    <w:uiPriority w:val="99"/>
    <w:rsid w:val="00E00BB9"/>
    <w:pPr>
      <w:numPr>
        <w:ilvl w:val="1"/>
        <w:numId w:val="3"/>
      </w:numPr>
      <w:tabs>
        <w:tab w:val="left" w:pos="-1213"/>
        <w:tab w:val="left" w:pos="-720"/>
      </w:tabs>
      <w:spacing w:after="240"/>
      <w:jc w:val="both"/>
    </w:pPr>
    <w:rPr>
      <w:sz w:val="24"/>
      <w:szCs w:val="24"/>
    </w:rPr>
  </w:style>
  <w:style w:type="paragraph" w:customStyle="1" w:styleId="FacilityWide">
    <w:name w:val="Facility Wide"/>
    <w:basedOn w:val="Normal"/>
    <w:uiPriority w:val="99"/>
    <w:rsid w:val="00E00BB9"/>
    <w:pPr>
      <w:widowControl w:val="0"/>
      <w:tabs>
        <w:tab w:val="num" w:pos="720"/>
      </w:tabs>
      <w:spacing w:after="240"/>
      <w:ind w:left="720" w:hanging="720"/>
      <w:jc w:val="both"/>
    </w:pPr>
    <w:rPr>
      <w:sz w:val="24"/>
      <w:szCs w:val="24"/>
    </w:rPr>
  </w:style>
  <w:style w:type="paragraph" w:customStyle="1" w:styleId="PointSpecific">
    <w:name w:val="Point Specific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b/>
      <w:bCs/>
      <w:sz w:val="24"/>
      <w:szCs w:val="24"/>
    </w:rPr>
  </w:style>
  <w:style w:type="paragraph" w:customStyle="1" w:styleId="Insignificant">
    <w:name w:val="Insignificant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b/>
      <w:bCs/>
      <w:sz w:val="24"/>
      <w:szCs w:val="24"/>
    </w:rPr>
  </w:style>
  <w:style w:type="paragraph" w:customStyle="1" w:styleId="WorkPracticeStandards">
    <w:name w:val="Work Practice Standards"/>
    <w:basedOn w:val="Normal"/>
    <w:uiPriority w:val="99"/>
    <w:rsid w:val="00E00BB9"/>
    <w:pPr>
      <w:widowControl w:val="0"/>
      <w:numPr>
        <w:ilvl w:val="2"/>
        <w:numId w:val="4"/>
      </w:numPr>
      <w:spacing w:after="240"/>
      <w:jc w:val="both"/>
    </w:pPr>
    <w:rPr>
      <w:sz w:val="24"/>
      <w:szCs w:val="24"/>
    </w:rPr>
  </w:style>
  <w:style w:type="paragraph" w:customStyle="1" w:styleId="ComplianceSchedule">
    <w:name w:val="Compliance Schedule"/>
    <w:basedOn w:val="Normal"/>
    <w:uiPriority w:val="99"/>
    <w:rsid w:val="00E00BB9"/>
    <w:pPr>
      <w:widowControl w:val="0"/>
      <w:numPr>
        <w:ilvl w:val="1"/>
        <w:numId w:val="5"/>
      </w:numPr>
      <w:spacing w:after="240"/>
      <w:jc w:val="both"/>
    </w:pPr>
    <w:rPr>
      <w:sz w:val="24"/>
      <w:szCs w:val="24"/>
    </w:rPr>
  </w:style>
  <w:style w:type="paragraph" w:customStyle="1" w:styleId="Monitoring">
    <w:name w:val="Monitoring"/>
    <w:aliases w:val="Recordkeeping &amp; Reporting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sz w:val="24"/>
      <w:szCs w:val="24"/>
    </w:rPr>
  </w:style>
  <w:style w:type="paragraph" w:customStyle="1" w:styleId="SpecificMonitoringRecordkeeping">
    <w:name w:val="Specific Monitoring &amp; Recordkeeping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b/>
      <w:bCs/>
      <w:sz w:val="24"/>
      <w:szCs w:val="24"/>
    </w:rPr>
  </w:style>
  <w:style w:type="paragraph" w:customStyle="1" w:styleId="SpecificReporting">
    <w:name w:val="Specific Reporting"/>
    <w:basedOn w:val="Normal"/>
    <w:uiPriority w:val="99"/>
    <w:rsid w:val="00E00BB9"/>
    <w:pPr>
      <w:tabs>
        <w:tab w:val="left" w:pos="-1213"/>
        <w:tab w:val="left" w:pos="-720"/>
        <w:tab w:val="left" w:pos="0"/>
        <w:tab w:val="num" w:pos="720"/>
        <w:tab w:val="left" w:pos="810"/>
      </w:tabs>
      <w:spacing w:after="240"/>
      <w:ind w:left="720" w:hanging="720"/>
      <w:jc w:val="both"/>
    </w:pPr>
    <w:rPr>
      <w:b/>
      <w:bCs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E00BB9"/>
    <w:pPr>
      <w:widowControl w:val="0"/>
      <w:ind w:left="240"/>
      <w:jc w:val="both"/>
    </w:pPr>
    <w:rPr>
      <w:sz w:val="24"/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E00BB9"/>
    <w:pPr>
      <w:widowControl w:val="0"/>
      <w:ind w:left="480"/>
      <w:jc w:val="both"/>
    </w:pPr>
    <w:rPr>
      <w:sz w:val="24"/>
      <w:szCs w:val="24"/>
    </w:rPr>
  </w:style>
  <w:style w:type="paragraph" w:styleId="TOC4">
    <w:name w:val="toc 4"/>
    <w:basedOn w:val="Normal"/>
    <w:next w:val="Normal"/>
    <w:autoRedefine/>
    <w:uiPriority w:val="99"/>
    <w:semiHidden/>
    <w:rsid w:val="00E00BB9"/>
    <w:pPr>
      <w:widowControl w:val="0"/>
      <w:ind w:left="720"/>
      <w:jc w:val="both"/>
    </w:pPr>
    <w:rPr>
      <w:sz w:val="24"/>
      <w:szCs w:val="24"/>
    </w:rPr>
  </w:style>
  <w:style w:type="paragraph" w:styleId="TOC5">
    <w:name w:val="toc 5"/>
    <w:basedOn w:val="Normal"/>
    <w:next w:val="Normal"/>
    <w:autoRedefine/>
    <w:uiPriority w:val="99"/>
    <w:semiHidden/>
    <w:rsid w:val="00E00BB9"/>
    <w:pPr>
      <w:widowControl w:val="0"/>
      <w:ind w:left="960"/>
      <w:jc w:val="both"/>
    </w:pPr>
    <w:rPr>
      <w:sz w:val="24"/>
      <w:szCs w:val="24"/>
    </w:rPr>
  </w:style>
  <w:style w:type="paragraph" w:styleId="TOC6">
    <w:name w:val="toc 6"/>
    <w:basedOn w:val="Normal"/>
    <w:next w:val="Normal"/>
    <w:autoRedefine/>
    <w:uiPriority w:val="99"/>
    <w:semiHidden/>
    <w:rsid w:val="00E00BB9"/>
    <w:pPr>
      <w:widowControl w:val="0"/>
      <w:ind w:left="1200"/>
      <w:jc w:val="both"/>
    </w:pPr>
    <w:rPr>
      <w:sz w:val="24"/>
      <w:szCs w:val="24"/>
    </w:rPr>
  </w:style>
  <w:style w:type="paragraph" w:styleId="TOC7">
    <w:name w:val="toc 7"/>
    <w:basedOn w:val="Normal"/>
    <w:next w:val="Normal"/>
    <w:autoRedefine/>
    <w:uiPriority w:val="99"/>
    <w:semiHidden/>
    <w:rsid w:val="00E00BB9"/>
    <w:pPr>
      <w:widowControl w:val="0"/>
      <w:ind w:left="1440"/>
      <w:jc w:val="both"/>
    </w:pPr>
    <w:rPr>
      <w:sz w:val="24"/>
      <w:szCs w:val="24"/>
    </w:rPr>
  </w:style>
  <w:style w:type="paragraph" w:styleId="TOC8">
    <w:name w:val="toc 8"/>
    <w:basedOn w:val="Normal"/>
    <w:next w:val="Normal"/>
    <w:autoRedefine/>
    <w:uiPriority w:val="99"/>
    <w:semiHidden/>
    <w:rsid w:val="00E00BB9"/>
    <w:pPr>
      <w:widowControl w:val="0"/>
      <w:ind w:left="1680"/>
      <w:jc w:val="both"/>
    </w:pPr>
    <w:rPr>
      <w:sz w:val="24"/>
      <w:szCs w:val="24"/>
    </w:rPr>
  </w:style>
  <w:style w:type="paragraph" w:styleId="TOC9">
    <w:name w:val="toc 9"/>
    <w:basedOn w:val="Normal"/>
    <w:next w:val="Normal"/>
    <w:autoRedefine/>
    <w:uiPriority w:val="99"/>
    <w:semiHidden/>
    <w:rsid w:val="00E00BB9"/>
    <w:pPr>
      <w:widowControl w:val="0"/>
      <w:ind w:left="1920"/>
      <w:jc w:val="both"/>
    </w:pPr>
    <w:rPr>
      <w:sz w:val="24"/>
      <w:szCs w:val="24"/>
    </w:rPr>
  </w:style>
  <w:style w:type="character" w:styleId="PageNumber">
    <w:name w:val="page number"/>
    <w:uiPriority w:val="99"/>
    <w:rsid w:val="00E00BB9"/>
    <w:rPr>
      <w:rFonts w:cs="Times New Roman"/>
    </w:rPr>
  </w:style>
  <w:style w:type="character" w:styleId="Hyperlink">
    <w:name w:val="Hyperlink"/>
    <w:uiPriority w:val="99"/>
    <w:rsid w:val="00E00BB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00BB9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Tempo Field</vt:lpstr>
    </vt:vector>
  </TitlesOfParts>
  <Company>Office of Pollution Control</Company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Tempo Field</dc:title>
  <dc:subject/>
  <dc:creator>Bruce Ferguson</dc:creator>
  <cp:keywords/>
  <dc:description/>
  <cp:lastModifiedBy>Ryan Wigginton</cp:lastModifiedBy>
  <cp:revision>85</cp:revision>
  <cp:lastPrinted>2019-09-20T14:53:00Z</cp:lastPrinted>
  <dcterms:created xsi:type="dcterms:W3CDTF">2026-05-10T03:36:00Z</dcterms:created>
  <dcterms:modified xsi:type="dcterms:W3CDTF">2026-06-19T02:36:00Z</dcterms:modified>
</cp:coreProperties>
</file>