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7FE2A" w14:textId="77777777" w:rsidR="005E1C12" w:rsidRDefault="005E1C12">
      <w:pPr>
        <w:jc w:val="center"/>
        <w:rPr>
          <w:b/>
          <w:bCs/>
          <w:sz w:val="32"/>
          <w:szCs w:val="32"/>
        </w:rPr>
      </w:pPr>
      <w:r>
        <w:rPr>
          <w:b/>
          <w:bCs/>
          <w:sz w:val="32"/>
          <w:szCs w:val="32"/>
        </w:rPr>
        <w:t>INFORMATION RELATIVE TO</w:t>
      </w:r>
      <w:r w:rsidR="00CC1957">
        <w:rPr>
          <w:b/>
          <w:bCs/>
          <w:sz w:val="32"/>
          <w:szCs w:val="32"/>
        </w:rPr>
        <w:t xml:space="preserve"> </w:t>
      </w:r>
    </w:p>
    <w:p w14:paraId="29FE8FE3" w14:textId="3004FA6F" w:rsidR="005E1C12" w:rsidRDefault="005E1C12">
      <w:pPr>
        <w:jc w:val="center"/>
        <w:rPr>
          <w:b/>
          <w:bCs/>
          <w:sz w:val="32"/>
          <w:szCs w:val="32"/>
        </w:rPr>
      </w:pPr>
      <w:r>
        <w:rPr>
          <w:b/>
          <w:bCs/>
          <w:sz w:val="32"/>
          <w:szCs w:val="32"/>
        </w:rPr>
        <w:t>THE TITLE V OPERATING PERMIT</w:t>
      </w:r>
    </w:p>
    <w:p w14:paraId="25E2D042" w14:textId="60879304" w:rsidR="007E6D99" w:rsidRDefault="00B16DC0">
      <w:pPr>
        <w:jc w:val="center"/>
        <w:rPr>
          <w:b/>
          <w:bCs/>
          <w:sz w:val="32"/>
          <w:szCs w:val="32"/>
        </w:rPr>
      </w:pPr>
      <w:r>
        <w:rPr>
          <w:b/>
          <w:bCs/>
          <w:sz w:val="32"/>
          <w:szCs w:val="32"/>
        </w:rPr>
        <w:t>July 6, 2026</w:t>
      </w:r>
    </w:p>
    <w:p w14:paraId="095C30D2" w14:textId="77777777" w:rsidR="005E1C12" w:rsidRDefault="005E1C12">
      <w:pPr>
        <w:jc w:val="center"/>
        <w:rPr>
          <w:sz w:val="24"/>
          <w:szCs w:val="24"/>
        </w:rPr>
      </w:pPr>
    </w:p>
    <w:p w14:paraId="30C9AEA6" w14:textId="77777777" w:rsidR="005E1C12" w:rsidRPr="006A52EB" w:rsidRDefault="006A52EB" w:rsidP="00154641">
      <w:pPr>
        <w:spacing w:after="120"/>
        <w:rPr>
          <w:sz w:val="24"/>
          <w:szCs w:val="24"/>
          <w:u w:val="single"/>
        </w:rPr>
      </w:pPr>
      <w:r w:rsidRPr="006A52EB">
        <w:rPr>
          <w:sz w:val="24"/>
          <w:szCs w:val="24"/>
          <w:u w:val="single"/>
        </w:rPr>
        <w:t>GENER</w:t>
      </w:r>
      <w:r>
        <w:rPr>
          <w:sz w:val="24"/>
          <w:szCs w:val="24"/>
          <w:u w:val="single"/>
        </w:rPr>
        <w:t>AL FACILITY INFORMATION</w:t>
      </w:r>
    </w:p>
    <w:p w14:paraId="443DDF49" w14:textId="0B4341D9" w:rsidR="005E1C12" w:rsidRPr="006A52EB" w:rsidRDefault="006A52EB" w:rsidP="006A52EB">
      <w:pPr>
        <w:pStyle w:val="ReferenceLine"/>
        <w:widowControl/>
        <w:tabs>
          <w:tab w:val="left" w:pos="90"/>
        </w:tabs>
        <w:spacing w:after="0"/>
        <w:rPr>
          <w:bCs/>
        </w:rPr>
      </w:pPr>
      <w:r>
        <w:rPr>
          <w:b/>
          <w:bCs/>
        </w:rPr>
        <w:t xml:space="preserve">Facility Name:  </w:t>
      </w:r>
      <w:r w:rsidR="008B14C4" w:rsidRPr="008B14C4">
        <w:t xml:space="preserve">City of </w:t>
      </w:r>
      <w:r w:rsidR="005E1C12" w:rsidRPr="006A52EB">
        <w:rPr>
          <w:bCs/>
        </w:rPr>
        <w:t>Canton, Canton Sanitary Landfill</w:t>
      </w:r>
    </w:p>
    <w:p w14:paraId="0353A550" w14:textId="436DD868" w:rsidR="005E1C12" w:rsidRPr="00577CB8" w:rsidRDefault="006A52EB" w:rsidP="00681AD1">
      <w:pPr>
        <w:tabs>
          <w:tab w:val="left" w:pos="90"/>
        </w:tabs>
        <w:rPr>
          <w:bCs/>
          <w:color w:val="000000"/>
          <w:sz w:val="24"/>
          <w:szCs w:val="24"/>
        </w:rPr>
      </w:pPr>
      <w:r w:rsidRPr="006A52EB">
        <w:rPr>
          <w:b/>
          <w:bCs/>
          <w:snapToGrid w:val="0"/>
          <w:color w:val="000000"/>
          <w:sz w:val="24"/>
          <w:szCs w:val="24"/>
        </w:rPr>
        <w:t>Facility Address</w:t>
      </w:r>
      <w:proofErr w:type="gramStart"/>
      <w:r w:rsidRPr="006A52EB">
        <w:rPr>
          <w:b/>
          <w:bCs/>
          <w:snapToGrid w:val="0"/>
          <w:color w:val="000000"/>
          <w:sz w:val="24"/>
          <w:szCs w:val="24"/>
        </w:rPr>
        <w:t>:</w:t>
      </w:r>
      <w:r>
        <w:rPr>
          <w:bCs/>
          <w:snapToGrid w:val="0"/>
          <w:color w:val="000000"/>
          <w:sz w:val="24"/>
          <w:szCs w:val="24"/>
        </w:rPr>
        <w:t xml:space="preserve">  </w:t>
      </w:r>
      <w:r w:rsidR="005E1C12" w:rsidRPr="00577CB8">
        <w:rPr>
          <w:bCs/>
          <w:snapToGrid w:val="0"/>
          <w:color w:val="000000"/>
          <w:sz w:val="24"/>
          <w:szCs w:val="24"/>
        </w:rPr>
        <w:t>303</w:t>
      </w:r>
      <w:proofErr w:type="gramEnd"/>
      <w:r w:rsidR="005E1C12" w:rsidRPr="00577CB8">
        <w:rPr>
          <w:bCs/>
          <w:snapToGrid w:val="0"/>
          <w:color w:val="000000"/>
          <w:sz w:val="24"/>
          <w:szCs w:val="24"/>
        </w:rPr>
        <w:t xml:space="preserve"> Soldier Colony Road</w:t>
      </w:r>
      <w:r w:rsidR="00B16DC0">
        <w:rPr>
          <w:bCs/>
          <w:snapToGrid w:val="0"/>
          <w:color w:val="000000"/>
          <w:sz w:val="24"/>
          <w:szCs w:val="24"/>
        </w:rPr>
        <w:t>;</w:t>
      </w:r>
      <w:r w:rsidR="008B14C4">
        <w:rPr>
          <w:bCs/>
          <w:snapToGrid w:val="0"/>
          <w:color w:val="000000"/>
          <w:sz w:val="24"/>
          <w:szCs w:val="24"/>
        </w:rPr>
        <w:t xml:space="preserve"> </w:t>
      </w:r>
      <w:r w:rsidR="005E1C12" w:rsidRPr="00577CB8">
        <w:rPr>
          <w:bCs/>
          <w:color w:val="000000"/>
          <w:sz w:val="24"/>
          <w:szCs w:val="24"/>
        </w:rPr>
        <w:t>Canton, MS 39046</w:t>
      </w:r>
    </w:p>
    <w:p w14:paraId="3AF9A92E" w14:textId="77777777" w:rsidR="00CC1957" w:rsidRDefault="006A52EB" w:rsidP="00681AD1">
      <w:pPr>
        <w:pStyle w:val="ReferenceLine"/>
        <w:widowControl/>
        <w:spacing w:after="0"/>
      </w:pPr>
      <w:r>
        <w:rPr>
          <w:b/>
        </w:rPr>
        <w:t xml:space="preserve">County: </w:t>
      </w:r>
      <w:r w:rsidR="00CC1957" w:rsidRPr="006A52EB">
        <w:t>Madison</w:t>
      </w:r>
    </w:p>
    <w:p w14:paraId="16DC2F9E" w14:textId="2E25EE8E" w:rsidR="00991620" w:rsidRPr="000C10C1" w:rsidRDefault="00991620" w:rsidP="00991620">
      <w:pPr>
        <w:pStyle w:val="ReferenceLine"/>
        <w:widowControl/>
        <w:spacing w:after="0"/>
        <w:rPr>
          <w:color w:val="FF0000"/>
        </w:rPr>
      </w:pPr>
      <w:r w:rsidRPr="00991620">
        <w:rPr>
          <w:b/>
        </w:rPr>
        <w:t xml:space="preserve">SIC Code(s): </w:t>
      </w:r>
      <w:r w:rsidR="005D7E4C">
        <w:t>4953</w:t>
      </w:r>
      <w:r w:rsidR="008B14C4">
        <w:t xml:space="preserve"> – Refuse Systems</w:t>
      </w:r>
    </w:p>
    <w:p w14:paraId="181B8C14" w14:textId="38AC7BEA" w:rsidR="006A52EB" w:rsidRDefault="00991620" w:rsidP="00681AD1">
      <w:pPr>
        <w:pStyle w:val="ReferenceLine"/>
        <w:widowControl/>
        <w:spacing w:after="0"/>
        <w:rPr>
          <w:b/>
        </w:rPr>
      </w:pPr>
      <w:r w:rsidRPr="00991620">
        <w:rPr>
          <w:b/>
        </w:rPr>
        <w:t>NAICS Code(s):</w:t>
      </w:r>
      <w:r>
        <w:t xml:space="preserve"> </w:t>
      </w:r>
      <w:r w:rsidR="00B14D72">
        <w:t>562212</w:t>
      </w:r>
      <w:r w:rsidR="008B14C4">
        <w:t xml:space="preserve"> – Solid Waste Landfill</w:t>
      </w:r>
    </w:p>
    <w:p w14:paraId="73D9A046" w14:textId="77777777" w:rsidR="00EA6AF2" w:rsidRDefault="00EA6AF2" w:rsidP="00681AD1">
      <w:pPr>
        <w:pStyle w:val="ReferenceLine"/>
        <w:widowControl/>
        <w:spacing w:after="0"/>
        <w:rPr>
          <w:u w:val="single"/>
        </w:rPr>
      </w:pPr>
    </w:p>
    <w:p w14:paraId="7EE6826E" w14:textId="77777777" w:rsidR="00681AD1" w:rsidRPr="00681AD1" w:rsidRDefault="00681AD1" w:rsidP="00154641">
      <w:pPr>
        <w:pStyle w:val="ReferenceLine"/>
        <w:widowControl/>
        <w:rPr>
          <w:u w:val="single"/>
        </w:rPr>
      </w:pPr>
      <w:r>
        <w:rPr>
          <w:u w:val="single"/>
        </w:rPr>
        <w:t xml:space="preserve">APPLICATION SUMMARY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1"/>
        <w:gridCol w:w="4409"/>
      </w:tblGrid>
      <w:tr w:rsidR="00EA6AF2" w14:paraId="16DF5218" w14:textId="77777777" w:rsidTr="00FC33A0">
        <w:trPr>
          <w:trHeight w:val="2268"/>
        </w:trPr>
        <w:tc>
          <w:tcPr>
            <w:tcW w:w="5058" w:type="dxa"/>
          </w:tcPr>
          <w:p w14:paraId="6C26B077" w14:textId="77777777" w:rsidR="00EA6AF2" w:rsidRPr="00577CB8" w:rsidRDefault="00EA6AF2" w:rsidP="000C10C1">
            <w:pPr>
              <w:pStyle w:val="ReferenceLine"/>
              <w:widowControl/>
              <w:spacing w:before="60" w:after="60"/>
              <w:ind w:right="168"/>
              <w:rPr>
                <w:color w:val="FF0000"/>
              </w:rPr>
            </w:pPr>
            <w:r w:rsidRPr="00681AD1">
              <w:rPr>
                <w:b/>
              </w:rPr>
              <w:t xml:space="preserve">Permit No.: </w:t>
            </w:r>
            <w:r>
              <w:t>1780-00080</w:t>
            </w:r>
          </w:p>
          <w:p w14:paraId="234CC4D6" w14:textId="352AD8E2" w:rsidR="00EA6AF2" w:rsidRPr="00681AD1" w:rsidRDefault="00EA6AF2" w:rsidP="00991620">
            <w:pPr>
              <w:pStyle w:val="ReferenceLine"/>
              <w:widowControl/>
              <w:spacing w:before="60" w:after="60"/>
              <w:ind w:right="168"/>
              <w:rPr>
                <w:color w:val="4F81BD"/>
              </w:rPr>
            </w:pPr>
            <w:r>
              <w:rPr>
                <w:b/>
              </w:rPr>
              <w:t xml:space="preserve">Permit Action: </w:t>
            </w:r>
            <w:r w:rsidRPr="00681AD1">
              <w:rPr>
                <w:b/>
              </w:rPr>
              <w:t xml:space="preserve"> </w:t>
            </w:r>
            <w:r w:rsidRPr="008B14C4">
              <w:t xml:space="preserve">Initial Issuance </w:t>
            </w:r>
          </w:p>
          <w:p w14:paraId="5328061B" w14:textId="77777777" w:rsidR="00EA6AF2" w:rsidRPr="00577CB8" w:rsidRDefault="00EA6AF2" w:rsidP="000C10C1">
            <w:pPr>
              <w:pStyle w:val="ReferenceLine"/>
              <w:widowControl/>
              <w:spacing w:before="60" w:after="60"/>
              <w:ind w:right="168"/>
              <w:rPr>
                <w:color w:val="FF0000"/>
              </w:rPr>
            </w:pPr>
            <w:r>
              <w:rPr>
                <w:b/>
              </w:rPr>
              <w:t xml:space="preserve">Permit Folder: </w:t>
            </w:r>
            <w:r>
              <w:t>PER20220002</w:t>
            </w:r>
          </w:p>
          <w:p w14:paraId="417F14C6" w14:textId="0E66C677" w:rsidR="00EA6AF2" w:rsidRPr="00E47E8E" w:rsidRDefault="00EA6AF2" w:rsidP="00CB37B4">
            <w:pPr>
              <w:pStyle w:val="ReferenceLine"/>
              <w:widowControl/>
              <w:spacing w:before="60" w:after="60"/>
              <w:ind w:right="168"/>
              <w:rPr>
                <w:color w:val="FF0000"/>
              </w:rPr>
            </w:pPr>
            <w:r>
              <w:rPr>
                <w:b/>
              </w:rPr>
              <w:t xml:space="preserve">Application Receipt Date: </w:t>
            </w:r>
            <w:r w:rsidR="004020F9" w:rsidRPr="004020F9">
              <w:rPr>
                <w:bCs/>
              </w:rPr>
              <w:t>01/14/2022</w:t>
            </w:r>
          </w:p>
          <w:p w14:paraId="434CB709" w14:textId="068E24C6" w:rsidR="00EA6AF2" w:rsidRPr="004020F9" w:rsidRDefault="00EA6AF2" w:rsidP="000C10C1">
            <w:pPr>
              <w:pStyle w:val="ReferenceLine"/>
              <w:widowControl/>
              <w:spacing w:before="60" w:after="60"/>
              <w:ind w:right="168"/>
              <w:rPr>
                <w:bCs/>
              </w:rPr>
            </w:pPr>
            <w:r>
              <w:rPr>
                <w:b/>
              </w:rPr>
              <w:t xml:space="preserve">Application Deemed Complete: </w:t>
            </w:r>
            <w:r w:rsidR="004020F9" w:rsidRPr="004020F9">
              <w:rPr>
                <w:bCs/>
              </w:rPr>
              <w:t>08/17/2022</w:t>
            </w:r>
          </w:p>
          <w:p w14:paraId="7116BC91" w14:textId="0E40C878" w:rsidR="008B14C4" w:rsidRPr="00577CB8" w:rsidRDefault="00EA6AF2" w:rsidP="00FC33A0">
            <w:pPr>
              <w:pStyle w:val="ReferenceLine"/>
              <w:spacing w:before="60" w:after="60"/>
              <w:ind w:right="168"/>
              <w:rPr>
                <w:color w:val="FF0000"/>
              </w:rPr>
            </w:pPr>
            <w:r>
              <w:rPr>
                <w:b/>
              </w:rPr>
              <w:t>CBI Submitted?</w:t>
            </w:r>
            <w:r w:rsidR="008B14C4">
              <w:rPr>
                <w:b/>
              </w:rPr>
              <w:t xml:space="preserve"> </w:t>
            </w:r>
            <w:r>
              <w:rPr>
                <w:b/>
              </w:rPr>
              <w:t xml:space="preserve"> </w:t>
            </w:r>
            <w:r w:rsidRPr="008B14C4">
              <w:t>No</w:t>
            </w:r>
          </w:p>
        </w:tc>
        <w:tc>
          <w:tcPr>
            <w:tcW w:w="4518" w:type="dxa"/>
          </w:tcPr>
          <w:p w14:paraId="104D00E3" w14:textId="0057ACE4" w:rsidR="00EA6AF2" w:rsidRPr="008B14C4" w:rsidRDefault="00EA6AF2" w:rsidP="00991620">
            <w:pPr>
              <w:pStyle w:val="ReferenceLine"/>
              <w:widowControl/>
              <w:spacing w:before="60" w:after="60"/>
            </w:pPr>
            <w:r>
              <w:rPr>
                <w:b/>
              </w:rPr>
              <w:t xml:space="preserve">NSPS (Part 60): </w:t>
            </w:r>
            <w:r w:rsidR="00B16DC0">
              <w:t>Subpart XXX</w:t>
            </w:r>
            <w:r w:rsidR="00FA5317" w:rsidRPr="00B16DC0">
              <w:rPr>
                <w:color w:val="EE0000"/>
              </w:rPr>
              <w:t>*</w:t>
            </w:r>
            <w:r w:rsidR="008B14C4" w:rsidRPr="008B14C4">
              <w:t xml:space="preserve"> </w:t>
            </w:r>
          </w:p>
          <w:p w14:paraId="7527C1D4" w14:textId="7DF0F8DE" w:rsidR="00EA6AF2" w:rsidRDefault="00EA6AF2" w:rsidP="00991620">
            <w:pPr>
              <w:pStyle w:val="ReferenceLine"/>
              <w:widowControl/>
              <w:spacing w:before="60" w:after="60"/>
            </w:pPr>
            <w:r>
              <w:rPr>
                <w:b/>
              </w:rPr>
              <w:t xml:space="preserve">NESHAP (Part 61): </w:t>
            </w:r>
            <w:r w:rsidRPr="008B14C4">
              <w:t>N/A</w:t>
            </w:r>
          </w:p>
          <w:p w14:paraId="6E9681C7" w14:textId="3E904912" w:rsidR="00FA5317" w:rsidRPr="008B14C4" w:rsidRDefault="00FA5317" w:rsidP="00991620">
            <w:pPr>
              <w:pStyle w:val="ReferenceLine"/>
              <w:widowControl/>
              <w:spacing w:before="60" w:after="60"/>
              <w:rPr>
                <w:b/>
              </w:rPr>
            </w:pPr>
            <w:r>
              <w:rPr>
                <w:b/>
              </w:rPr>
              <w:t xml:space="preserve">Federal Plan (Part 62): </w:t>
            </w:r>
            <w:r>
              <w:t>Subpart OOO</w:t>
            </w:r>
            <w:r w:rsidR="00B16DC0" w:rsidRPr="00B16DC0">
              <w:rPr>
                <w:color w:val="EE0000"/>
              </w:rPr>
              <w:t>*</w:t>
            </w:r>
          </w:p>
          <w:p w14:paraId="1143D928" w14:textId="52F509E4" w:rsidR="00EA6AF2" w:rsidRPr="00BF417E" w:rsidRDefault="00EA6AF2" w:rsidP="00991620">
            <w:pPr>
              <w:pStyle w:val="ReferenceLine"/>
              <w:widowControl/>
              <w:spacing w:before="60" w:after="60"/>
              <w:rPr>
                <w:b/>
                <w:vertAlign w:val="superscript"/>
              </w:rPr>
            </w:pPr>
            <w:r w:rsidRPr="008B14C4">
              <w:rPr>
                <w:b/>
              </w:rPr>
              <w:t xml:space="preserve">NESHAP (Part 63): </w:t>
            </w:r>
            <w:r w:rsidR="00BF417E">
              <w:t>N/A</w:t>
            </w:r>
          </w:p>
          <w:p w14:paraId="72EE7FD0" w14:textId="37D85EC7" w:rsidR="00EA6AF2" w:rsidRDefault="00EA6AF2" w:rsidP="00991620">
            <w:pPr>
              <w:pStyle w:val="ReferenceLine"/>
              <w:widowControl/>
              <w:spacing w:before="60" w:after="60"/>
              <w:rPr>
                <w:b/>
              </w:rPr>
            </w:pPr>
            <w:r>
              <w:rPr>
                <w:b/>
              </w:rPr>
              <w:t xml:space="preserve">112(r) / RMP: </w:t>
            </w:r>
            <w:r w:rsidRPr="008B14C4">
              <w:t>N/A</w:t>
            </w:r>
          </w:p>
          <w:p w14:paraId="42AA35D0" w14:textId="04BEB26B" w:rsidR="00EA6AF2" w:rsidRPr="00577CB8" w:rsidRDefault="00EA6AF2" w:rsidP="000C10C1">
            <w:pPr>
              <w:pStyle w:val="ReferenceLine"/>
              <w:spacing w:before="60" w:after="60"/>
            </w:pPr>
            <w:r>
              <w:rPr>
                <w:b/>
              </w:rPr>
              <w:t xml:space="preserve">Other: </w:t>
            </w:r>
            <w:r w:rsidRPr="008B14C4">
              <w:t>N/A</w:t>
            </w:r>
          </w:p>
        </w:tc>
      </w:tr>
    </w:tbl>
    <w:p w14:paraId="7CBDABF9" w14:textId="0EF7C95F" w:rsidR="00FC33A0" w:rsidRPr="00F3523D" w:rsidRDefault="00B16DC0" w:rsidP="00B16DC0">
      <w:pPr>
        <w:tabs>
          <w:tab w:val="left" w:pos="180"/>
        </w:tabs>
        <w:spacing w:before="120"/>
        <w:ind w:left="180" w:hanging="180"/>
        <w:jc w:val="both"/>
      </w:pPr>
      <w:r w:rsidRPr="00B16DC0">
        <w:rPr>
          <w:b/>
          <w:bCs/>
          <w:color w:val="EE0000"/>
        </w:rPr>
        <w:t>*</w:t>
      </w:r>
      <w:r>
        <w:tab/>
      </w:r>
      <w:r w:rsidR="00FC33A0" w:rsidRPr="00F3523D">
        <w:t>The facility is subject to 40 CFR 6</w:t>
      </w:r>
      <w:r w:rsidR="00BF417E" w:rsidRPr="00F3523D">
        <w:t>2</w:t>
      </w:r>
      <w:r w:rsidR="00FC33A0" w:rsidRPr="00F3523D">
        <w:t xml:space="preserve">, Subpart </w:t>
      </w:r>
      <w:r w:rsidR="00BF417E" w:rsidRPr="00F3523D">
        <w:t>OOO</w:t>
      </w:r>
      <w:r w:rsidR="00FC33A0" w:rsidRPr="00F3523D">
        <w:t xml:space="preserve"> until such time the facility commences construction of the proposed lateral expansion. </w:t>
      </w:r>
      <w:r>
        <w:t xml:space="preserve"> </w:t>
      </w:r>
      <w:r w:rsidR="00FC33A0" w:rsidRPr="00F3523D">
        <w:t xml:space="preserve">Once construction begins, the facility will be subject to 40 CFR </w:t>
      </w:r>
      <w:r>
        <w:t xml:space="preserve">Part </w:t>
      </w:r>
      <w:r w:rsidR="00FC33A0" w:rsidRPr="00F3523D">
        <w:t xml:space="preserve">60, Subpart XXX </w:t>
      </w:r>
      <w:r>
        <w:t xml:space="preserve">and longer subject to 40 CFR Part 62, Subpart OOO.  </w:t>
      </w:r>
    </w:p>
    <w:p w14:paraId="51B49BE0" w14:textId="77777777" w:rsidR="00FC33A0" w:rsidRDefault="00FC33A0" w:rsidP="00104CE2">
      <w:pPr>
        <w:jc w:val="both"/>
        <w:rPr>
          <w:sz w:val="24"/>
          <w:szCs w:val="24"/>
          <w:u w:val="single"/>
        </w:rPr>
      </w:pPr>
    </w:p>
    <w:p w14:paraId="5EDE65B0" w14:textId="54B69D4E" w:rsidR="00531513" w:rsidRDefault="00531513" w:rsidP="00104CE2">
      <w:pPr>
        <w:jc w:val="both"/>
        <w:rPr>
          <w:sz w:val="24"/>
          <w:szCs w:val="24"/>
        </w:rPr>
      </w:pPr>
      <w:r>
        <w:rPr>
          <w:sz w:val="24"/>
          <w:szCs w:val="24"/>
          <w:u w:val="single"/>
        </w:rPr>
        <w:t>FACILITY DESCRIPTION</w:t>
      </w:r>
    </w:p>
    <w:p w14:paraId="567BA23B" w14:textId="68610264" w:rsidR="00B16DC0" w:rsidRDefault="00EA58AA" w:rsidP="00154641">
      <w:pPr>
        <w:spacing w:before="120"/>
        <w:jc w:val="both"/>
        <w:rPr>
          <w:sz w:val="24"/>
          <w:szCs w:val="24"/>
        </w:rPr>
      </w:pPr>
      <w:r w:rsidRPr="00154641">
        <w:rPr>
          <w:sz w:val="24"/>
          <w:szCs w:val="24"/>
        </w:rPr>
        <w:t xml:space="preserve">The </w:t>
      </w:r>
      <w:r w:rsidR="00B16DC0">
        <w:rPr>
          <w:sz w:val="24"/>
          <w:szCs w:val="24"/>
        </w:rPr>
        <w:t xml:space="preserve">City of Canton – </w:t>
      </w:r>
      <w:r w:rsidRPr="00154641">
        <w:rPr>
          <w:sz w:val="24"/>
          <w:szCs w:val="24"/>
        </w:rPr>
        <w:t>Canton Sanitary Landfill (</w:t>
      </w:r>
      <w:r w:rsidR="00B16DC0">
        <w:rPr>
          <w:sz w:val="24"/>
          <w:szCs w:val="24"/>
        </w:rPr>
        <w:t>“</w:t>
      </w:r>
      <w:r w:rsidRPr="00154641">
        <w:rPr>
          <w:sz w:val="24"/>
          <w:szCs w:val="24"/>
        </w:rPr>
        <w:t>Canton Landfill</w:t>
      </w:r>
      <w:r w:rsidR="00B16DC0">
        <w:rPr>
          <w:sz w:val="24"/>
          <w:szCs w:val="24"/>
        </w:rPr>
        <w:t>”</w:t>
      </w:r>
      <w:r w:rsidRPr="00154641">
        <w:rPr>
          <w:sz w:val="24"/>
          <w:szCs w:val="24"/>
        </w:rPr>
        <w:t xml:space="preserve">) is an existing municipal solid waste </w:t>
      </w:r>
      <w:r w:rsidR="00B16DC0">
        <w:rPr>
          <w:sz w:val="24"/>
          <w:szCs w:val="24"/>
        </w:rPr>
        <w:t xml:space="preserve">(MSW) </w:t>
      </w:r>
      <w:r w:rsidRPr="00154641">
        <w:rPr>
          <w:sz w:val="24"/>
          <w:szCs w:val="24"/>
        </w:rPr>
        <w:t xml:space="preserve">landfill </w:t>
      </w:r>
      <w:r w:rsidR="00B16DC0">
        <w:rPr>
          <w:sz w:val="24"/>
          <w:szCs w:val="24"/>
        </w:rPr>
        <w:t>that is owned by the City of Canton and has been in operation s</w:t>
      </w:r>
      <w:r w:rsidRPr="00154641">
        <w:rPr>
          <w:sz w:val="24"/>
          <w:szCs w:val="24"/>
        </w:rPr>
        <w:t xml:space="preserve">ince 1986. </w:t>
      </w:r>
      <w:r w:rsidR="00B16DC0">
        <w:rPr>
          <w:sz w:val="24"/>
          <w:szCs w:val="24"/>
        </w:rPr>
        <w:t xml:space="preserve"> C</w:t>
      </w:r>
      <w:r w:rsidRPr="00154641">
        <w:rPr>
          <w:sz w:val="24"/>
          <w:szCs w:val="24"/>
        </w:rPr>
        <w:t>urrently</w:t>
      </w:r>
      <w:r w:rsidR="00B16DC0">
        <w:rPr>
          <w:sz w:val="24"/>
          <w:szCs w:val="24"/>
        </w:rPr>
        <w:t>,</w:t>
      </w:r>
      <w:r w:rsidRPr="00154641">
        <w:rPr>
          <w:sz w:val="24"/>
          <w:szCs w:val="24"/>
        </w:rPr>
        <w:t xml:space="preserve"> </w:t>
      </w:r>
      <w:r w:rsidR="00B16DC0">
        <w:rPr>
          <w:sz w:val="24"/>
          <w:szCs w:val="24"/>
        </w:rPr>
        <w:t xml:space="preserve">the landfill </w:t>
      </w:r>
      <w:r w:rsidRPr="00154641">
        <w:rPr>
          <w:sz w:val="24"/>
          <w:szCs w:val="24"/>
        </w:rPr>
        <w:t xml:space="preserve">has a permitted </w:t>
      </w:r>
      <w:r w:rsidR="00B16DC0">
        <w:rPr>
          <w:sz w:val="24"/>
          <w:szCs w:val="24"/>
        </w:rPr>
        <w:t>design</w:t>
      </w:r>
      <w:r w:rsidRPr="00154641">
        <w:rPr>
          <w:sz w:val="24"/>
          <w:szCs w:val="24"/>
        </w:rPr>
        <w:t xml:space="preserve"> capacity of 1,332,505 tons; however, the </w:t>
      </w:r>
      <w:r w:rsidR="00B16DC0">
        <w:rPr>
          <w:sz w:val="24"/>
          <w:szCs w:val="24"/>
        </w:rPr>
        <w:t xml:space="preserve">facility has submitted an application requesting an initial Title V Operating Permit (TVOP) to reflect a proposed expansion of the landfill that will result in an increased design capacity of </w:t>
      </w:r>
      <w:r w:rsidR="00B16DC0" w:rsidRPr="00B16DC0">
        <w:rPr>
          <w:sz w:val="24"/>
          <w:szCs w:val="24"/>
        </w:rPr>
        <w:t>3,940,031 tons (</w:t>
      </w:r>
      <w:r w:rsidR="00B16DC0">
        <w:rPr>
          <w:sz w:val="24"/>
          <w:szCs w:val="24"/>
        </w:rPr>
        <w:t xml:space="preserve">or </w:t>
      </w:r>
      <w:r w:rsidR="00B16DC0" w:rsidRPr="00B16DC0">
        <w:rPr>
          <w:sz w:val="24"/>
          <w:szCs w:val="24"/>
        </w:rPr>
        <w:t>3,574,337 metric tons)</w:t>
      </w:r>
      <w:r w:rsidR="00B16DC0">
        <w:rPr>
          <w:sz w:val="24"/>
          <w:szCs w:val="24"/>
        </w:rPr>
        <w:t xml:space="preserve"> and </w:t>
      </w:r>
      <w:r w:rsidR="00B16DC0" w:rsidRPr="00B16DC0">
        <w:rPr>
          <w:sz w:val="24"/>
          <w:szCs w:val="24"/>
        </w:rPr>
        <w:t>6,566,719 cubic yards (</w:t>
      </w:r>
      <w:r w:rsidR="00B16DC0">
        <w:rPr>
          <w:sz w:val="24"/>
          <w:szCs w:val="24"/>
        </w:rPr>
        <w:t xml:space="preserve">or </w:t>
      </w:r>
      <w:r w:rsidR="00B16DC0" w:rsidRPr="00B16DC0">
        <w:rPr>
          <w:sz w:val="24"/>
          <w:szCs w:val="24"/>
        </w:rPr>
        <w:t>5.02 million cubic meters)</w:t>
      </w:r>
    </w:p>
    <w:p w14:paraId="06FA07F9" w14:textId="41109A06" w:rsidR="00B43950" w:rsidRPr="00154641" w:rsidRDefault="00B43950" w:rsidP="00104CE2">
      <w:pPr>
        <w:jc w:val="both"/>
        <w:rPr>
          <w:sz w:val="24"/>
          <w:szCs w:val="24"/>
        </w:rPr>
      </w:pPr>
    </w:p>
    <w:p w14:paraId="34F1A55B" w14:textId="51713B55" w:rsidR="00B43950" w:rsidRPr="00154641" w:rsidRDefault="002D2FD8" w:rsidP="00104CE2">
      <w:pPr>
        <w:jc w:val="both"/>
        <w:rPr>
          <w:sz w:val="24"/>
          <w:szCs w:val="24"/>
        </w:rPr>
      </w:pPr>
      <w:r>
        <w:rPr>
          <w:sz w:val="24"/>
          <w:szCs w:val="24"/>
        </w:rPr>
        <w:t xml:space="preserve">Based on the application, Canton Landfill will accept </w:t>
      </w:r>
      <w:r w:rsidRPr="002D2FD8">
        <w:rPr>
          <w:bCs/>
          <w:sz w:val="24"/>
          <w:szCs w:val="24"/>
        </w:rPr>
        <w:t xml:space="preserve">non-hazardous solid waste from residential, industrial, and institutional sources (which includes – but not limited to – household waste, commercial waste, and industrial waste, rubbish, construction debris, and </w:t>
      </w:r>
      <w:r>
        <w:rPr>
          <w:bCs/>
          <w:sz w:val="24"/>
          <w:szCs w:val="24"/>
        </w:rPr>
        <w:t xml:space="preserve">non-asbestos-containing </w:t>
      </w:r>
      <w:r w:rsidRPr="002D2FD8">
        <w:rPr>
          <w:bCs/>
          <w:sz w:val="24"/>
          <w:szCs w:val="24"/>
        </w:rPr>
        <w:t>demolition material)</w:t>
      </w:r>
      <w:r w:rsidR="00343B8E" w:rsidRPr="00154641">
        <w:rPr>
          <w:sz w:val="24"/>
          <w:szCs w:val="24"/>
        </w:rPr>
        <w:t xml:space="preserve">. </w:t>
      </w:r>
      <w:r>
        <w:rPr>
          <w:sz w:val="24"/>
          <w:szCs w:val="24"/>
        </w:rPr>
        <w:t xml:space="preserve"> </w:t>
      </w:r>
      <w:r w:rsidR="00343B8E" w:rsidRPr="00154641">
        <w:rPr>
          <w:sz w:val="24"/>
          <w:szCs w:val="24"/>
        </w:rPr>
        <w:t>Waste materials are transported by mobile equipment</w:t>
      </w:r>
      <w:r>
        <w:rPr>
          <w:sz w:val="24"/>
          <w:szCs w:val="24"/>
        </w:rPr>
        <w:t>,</w:t>
      </w:r>
      <w:r w:rsidR="00343B8E" w:rsidRPr="00154641">
        <w:rPr>
          <w:sz w:val="24"/>
          <w:szCs w:val="24"/>
        </w:rPr>
        <w:t xml:space="preserve"> which </w:t>
      </w:r>
      <w:r w:rsidR="00154641">
        <w:rPr>
          <w:sz w:val="24"/>
          <w:szCs w:val="24"/>
        </w:rPr>
        <w:t>cause</w:t>
      </w:r>
      <w:r>
        <w:rPr>
          <w:sz w:val="24"/>
          <w:szCs w:val="24"/>
        </w:rPr>
        <w:t>s</w:t>
      </w:r>
      <w:r w:rsidR="00343B8E" w:rsidRPr="00154641">
        <w:rPr>
          <w:sz w:val="24"/>
          <w:szCs w:val="24"/>
        </w:rPr>
        <w:t xml:space="preserve"> fugitive dust emissions. </w:t>
      </w:r>
      <w:r w:rsidR="00B16DC0">
        <w:rPr>
          <w:sz w:val="24"/>
          <w:szCs w:val="24"/>
        </w:rPr>
        <w:t xml:space="preserve"> </w:t>
      </w:r>
      <w:r w:rsidR="00343B8E" w:rsidRPr="00154641">
        <w:rPr>
          <w:sz w:val="24"/>
          <w:szCs w:val="24"/>
        </w:rPr>
        <w:t>The mobile equipment is fueled by two (2) on</w:t>
      </w:r>
      <w:r>
        <w:rPr>
          <w:sz w:val="24"/>
          <w:szCs w:val="24"/>
        </w:rPr>
        <w:t>-</w:t>
      </w:r>
      <w:r w:rsidR="00343B8E" w:rsidRPr="00154641">
        <w:rPr>
          <w:sz w:val="24"/>
          <w:szCs w:val="24"/>
        </w:rPr>
        <w:t>site diesel storage tanks.</w:t>
      </w:r>
    </w:p>
    <w:p w14:paraId="4C2EF452" w14:textId="405FD2CB" w:rsidR="00343B8E" w:rsidRPr="00154641" w:rsidRDefault="00343B8E" w:rsidP="00104CE2">
      <w:pPr>
        <w:jc w:val="both"/>
        <w:rPr>
          <w:sz w:val="24"/>
          <w:szCs w:val="24"/>
        </w:rPr>
      </w:pPr>
    </w:p>
    <w:p w14:paraId="778729F5" w14:textId="77777777" w:rsidR="00154641" w:rsidRDefault="00154641" w:rsidP="00104CE2">
      <w:pPr>
        <w:jc w:val="both"/>
        <w:rPr>
          <w:sz w:val="24"/>
          <w:szCs w:val="24"/>
          <w:u w:val="single"/>
        </w:rPr>
      </w:pPr>
    </w:p>
    <w:p w14:paraId="21168BC4" w14:textId="17619192" w:rsidR="00531513" w:rsidRDefault="00531513" w:rsidP="00104CE2">
      <w:pPr>
        <w:jc w:val="both"/>
        <w:rPr>
          <w:sz w:val="24"/>
          <w:szCs w:val="24"/>
        </w:rPr>
      </w:pPr>
      <w:r>
        <w:rPr>
          <w:sz w:val="24"/>
          <w:szCs w:val="24"/>
          <w:u w:val="single"/>
        </w:rPr>
        <w:t xml:space="preserve">TITLE V </w:t>
      </w:r>
      <w:r w:rsidR="00BA3BCF">
        <w:rPr>
          <w:sz w:val="24"/>
          <w:szCs w:val="24"/>
          <w:u w:val="single"/>
        </w:rPr>
        <w:t>SOURCE</w:t>
      </w:r>
      <w:r>
        <w:rPr>
          <w:sz w:val="24"/>
          <w:szCs w:val="24"/>
          <w:u w:val="single"/>
        </w:rPr>
        <w:t xml:space="preserve"> APPLICABILITY </w:t>
      </w:r>
    </w:p>
    <w:p w14:paraId="4F06DE00" w14:textId="67BBF15F" w:rsidR="002B31B0" w:rsidRDefault="002B31B0" w:rsidP="00154641">
      <w:pPr>
        <w:spacing w:before="120"/>
        <w:jc w:val="both"/>
        <w:rPr>
          <w:sz w:val="24"/>
          <w:szCs w:val="24"/>
        </w:rPr>
      </w:pPr>
      <w:r>
        <w:rPr>
          <w:sz w:val="24"/>
          <w:szCs w:val="24"/>
        </w:rPr>
        <w:t>Under current operations</w:t>
      </w:r>
      <w:r w:rsidR="002D2FD8">
        <w:rPr>
          <w:sz w:val="24"/>
          <w:szCs w:val="24"/>
        </w:rPr>
        <w:t xml:space="preserve">, Canton Landfill’s </w:t>
      </w:r>
      <w:r w:rsidR="00154641">
        <w:rPr>
          <w:sz w:val="24"/>
          <w:szCs w:val="24"/>
        </w:rPr>
        <w:t xml:space="preserve">design capacity is less than 2.5 million megagrams and 2.5 million cubic meters. </w:t>
      </w:r>
      <w:r>
        <w:rPr>
          <w:sz w:val="24"/>
          <w:szCs w:val="24"/>
        </w:rPr>
        <w:t xml:space="preserve"> </w:t>
      </w:r>
      <w:r w:rsidR="00154641">
        <w:rPr>
          <w:sz w:val="24"/>
          <w:szCs w:val="24"/>
        </w:rPr>
        <w:t xml:space="preserve">As such, the facility was not required to </w:t>
      </w:r>
      <w:r w:rsidR="002D2FD8">
        <w:rPr>
          <w:sz w:val="24"/>
          <w:szCs w:val="24"/>
        </w:rPr>
        <w:t>obtain</w:t>
      </w:r>
      <w:r>
        <w:rPr>
          <w:sz w:val="24"/>
          <w:szCs w:val="24"/>
        </w:rPr>
        <w:t xml:space="preserve"> a TVOP</w:t>
      </w:r>
      <w:r w:rsidR="00FA08E5">
        <w:rPr>
          <w:sz w:val="24"/>
          <w:szCs w:val="24"/>
        </w:rPr>
        <w:t xml:space="preserve">.  However, </w:t>
      </w:r>
      <w:r>
        <w:rPr>
          <w:sz w:val="24"/>
          <w:szCs w:val="24"/>
        </w:rPr>
        <w:t xml:space="preserve">upon issuance of the proposed TVOP (in tandem with the proposed modification of the State of Mississippi Solid Waste Management Permit No. </w:t>
      </w:r>
      <w:r w:rsidRPr="002B31B0">
        <w:rPr>
          <w:sz w:val="24"/>
          <w:szCs w:val="24"/>
        </w:rPr>
        <w:t>SW04501B0378</w:t>
      </w:r>
      <w:r w:rsidR="00284CE9">
        <w:rPr>
          <w:sz w:val="24"/>
          <w:szCs w:val="24"/>
        </w:rPr>
        <w:t xml:space="preserve"> issued November 14, 2017</w:t>
      </w:r>
      <w:r>
        <w:rPr>
          <w:sz w:val="24"/>
          <w:szCs w:val="24"/>
        </w:rPr>
        <w:t xml:space="preserve">), </w:t>
      </w:r>
      <w:r>
        <w:rPr>
          <w:sz w:val="24"/>
          <w:szCs w:val="24"/>
        </w:rPr>
        <w:lastRenderedPageBreak/>
        <w:t>the facility will have the authority to enact a pr</w:t>
      </w:r>
      <w:r w:rsidR="00FA08E5">
        <w:rPr>
          <w:sz w:val="24"/>
          <w:szCs w:val="24"/>
        </w:rPr>
        <w:t>oposed lateral expansion</w:t>
      </w:r>
      <w:r>
        <w:rPr>
          <w:sz w:val="24"/>
          <w:szCs w:val="24"/>
        </w:rPr>
        <w:t xml:space="preserve"> of the landfill.  Upon commencing construction of the proposed expansion</w:t>
      </w:r>
      <w:r w:rsidR="00FA08E5">
        <w:rPr>
          <w:sz w:val="24"/>
          <w:szCs w:val="24"/>
        </w:rPr>
        <w:t xml:space="preserve">, </w:t>
      </w:r>
      <w:r>
        <w:rPr>
          <w:sz w:val="24"/>
          <w:szCs w:val="24"/>
        </w:rPr>
        <w:t xml:space="preserve">Canton Landfill will have a design capacity greater than </w:t>
      </w:r>
      <w:r w:rsidRPr="002B31B0">
        <w:rPr>
          <w:sz w:val="24"/>
          <w:szCs w:val="24"/>
        </w:rPr>
        <w:t>2.5 million megagrams and 2.5 million cubic meters</w:t>
      </w:r>
      <w:r>
        <w:rPr>
          <w:sz w:val="24"/>
          <w:szCs w:val="24"/>
        </w:rPr>
        <w:t>.  Therefore, p</w:t>
      </w:r>
      <w:r w:rsidRPr="002B31B0">
        <w:rPr>
          <w:sz w:val="24"/>
          <w:szCs w:val="24"/>
        </w:rPr>
        <w:t xml:space="preserve">ursuant to 40 CFR Part 60 – Subpart XXX [specifically 40 CFR 60.762(b) and (c)], </w:t>
      </w:r>
      <w:r>
        <w:rPr>
          <w:sz w:val="24"/>
          <w:szCs w:val="24"/>
        </w:rPr>
        <w:t>Canton Landfill</w:t>
      </w:r>
      <w:r w:rsidRPr="002B31B0">
        <w:rPr>
          <w:sz w:val="24"/>
          <w:szCs w:val="24"/>
        </w:rPr>
        <w:t xml:space="preserve"> is required to obtain a TVOP.</w:t>
      </w:r>
    </w:p>
    <w:p w14:paraId="41A5DB6B" w14:textId="66BF090F" w:rsidR="00EF004E" w:rsidRDefault="00C9427D" w:rsidP="002B31B0">
      <w:pPr>
        <w:spacing w:before="240" w:after="240"/>
        <w:jc w:val="both"/>
        <w:rPr>
          <w:color w:val="4F81BD" w:themeColor="accent1"/>
          <w:sz w:val="24"/>
          <w:szCs w:val="24"/>
        </w:rPr>
      </w:pPr>
      <w:r w:rsidRPr="00C9427D">
        <w:rPr>
          <w:sz w:val="24"/>
          <w:szCs w:val="24"/>
        </w:rPr>
        <w:t xml:space="preserve">Regarding air emissions, the facility’s potential-to-emit (PTE) </w:t>
      </w:r>
      <w:r w:rsidRPr="00C9427D">
        <w:rPr>
          <w:sz w:val="24"/>
          <w:szCs w:val="24"/>
          <w:u w:val="single"/>
        </w:rPr>
        <w:t>does not</w:t>
      </w:r>
      <w:r w:rsidRPr="00C9427D">
        <w:rPr>
          <w:sz w:val="24"/>
          <w:szCs w:val="24"/>
        </w:rPr>
        <w:t xml:space="preserve"> the Title V major source threshold of 100 tons per year (</w:t>
      </w:r>
      <w:proofErr w:type="spellStart"/>
      <w:r w:rsidRPr="00C9427D">
        <w:rPr>
          <w:sz w:val="24"/>
          <w:szCs w:val="24"/>
        </w:rPr>
        <w:t>tpy</w:t>
      </w:r>
      <w:proofErr w:type="spellEnd"/>
      <w:r w:rsidRPr="00C9427D">
        <w:rPr>
          <w:sz w:val="24"/>
          <w:szCs w:val="24"/>
        </w:rPr>
        <w:t xml:space="preserve">) for any of the applicable criteria air pollutants.  In addition, the facility’s potential-to-emit hazardous air pollutants (HAPs) </w:t>
      </w:r>
      <w:r w:rsidRPr="00C9427D">
        <w:rPr>
          <w:sz w:val="24"/>
          <w:szCs w:val="24"/>
          <w:u w:val="single"/>
        </w:rPr>
        <w:t>does not</w:t>
      </w:r>
      <w:r w:rsidRPr="00C9427D">
        <w:rPr>
          <w:sz w:val="24"/>
          <w:szCs w:val="24"/>
        </w:rPr>
        <w:t xml:space="preserve"> exceed the major source threshold of 25 tons per year for all HAPs in total or 10 tons per year for each individual HAP.  Therefore, the facility is considered an area source for HAPs.</w:t>
      </w:r>
    </w:p>
    <w:p w14:paraId="078E7723" w14:textId="77777777" w:rsidR="009733EB" w:rsidRPr="006A52EB" w:rsidRDefault="009733EB" w:rsidP="00577CB8">
      <w:pPr>
        <w:keepNext/>
        <w:jc w:val="both"/>
        <w:rPr>
          <w:b/>
          <w:sz w:val="24"/>
          <w:szCs w:val="24"/>
          <w:vertAlign w:val="superscript"/>
        </w:rPr>
      </w:pPr>
      <w:r w:rsidRPr="006570C8">
        <w:rPr>
          <w:b/>
          <w:sz w:val="24"/>
          <w:szCs w:val="24"/>
        </w:rPr>
        <w:t>Facility-Wide Potential-to-Emit</w:t>
      </w:r>
      <w:r w:rsidR="00991620" w:rsidRPr="006570C8">
        <w:rPr>
          <w:b/>
          <w:sz w:val="24"/>
          <w:szCs w:val="24"/>
        </w:rPr>
        <w:t xml:space="preserve"> Summary</w:t>
      </w:r>
      <w:r w:rsidR="00ED2C87" w:rsidRPr="006570C8">
        <w:rPr>
          <w:b/>
          <w:sz w:val="24"/>
          <w:szCs w:val="24"/>
          <w:vertAlign w:val="superscript"/>
        </w:rPr>
        <w:t>1</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945"/>
        <w:gridCol w:w="1980"/>
      </w:tblGrid>
      <w:tr w:rsidR="009733EB" w14:paraId="2A56254D" w14:textId="77777777" w:rsidTr="002B31B0">
        <w:trPr>
          <w:tblHeader/>
        </w:trPr>
        <w:tc>
          <w:tcPr>
            <w:tcW w:w="3945" w:type="dxa"/>
            <w:tcBorders>
              <w:top w:val="double" w:sz="4" w:space="0" w:color="auto"/>
            </w:tcBorders>
            <w:shd w:val="clear" w:color="auto" w:fill="BFBFBF" w:themeFill="background1" w:themeFillShade="BF"/>
            <w:vAlign w:val="center"/>
          </w:tcPr>
          <w:p w14:paraId="7F7D2D30" w14:textId="77777777" w:rsidR="009733EB" w:rsidRPr="006A52EB" w:rsidRDefault="009733EB" w:rsidP="00C9427D">
            <w:pPr>
              <w:keepNext/>
              <w:jc w:val="center"/>
              <w:rPr>
                <w:sz w:val="24"/>
                <w:szCs w:val="24"/>
              </w:rPr>
            </w:pPr>
            <w:r w:rsidRPr="006A52EB">
              <w:rPr>
                <w:sz w:val="24"/>
                <w:szCs w:val="24"/>
              </w:rPr>
              <w:t>Pollutant</w:t>
            </w:r>
          </w:p>
        </w:tc>
        <w:tc>
          <w:tcPr>
            <w:tcW w:w="1980" w:type="dxa"/>
            <w:tcBorders>
              <w:top w:val="double" w:sz="4" w:space="0" w:color="auto"/>
            </w:tcBorders>
            <w:shd w:val="clear" w:color="auto" w:fill="BFBFBF" w:themeFill="background1" w:themeFillShade="BF"/>
            <w:vAlign w:val="center"/>
          </w:tcPr>
          <w:p w14:paraId="003B827A" w14:textId="77777777" w:rsidR="009733EB" w:rsidRPr="006A52EB" w:rsidRDefault="009733EB" w:rsidP="00C9427D">
            <w:pPr>
              <w:keepNext/>
              <w:jc w:val="center"/>
              <w:rPr>
                <w:sz w:val="24"/>
                <w:szCs w:val="24"/>
              </w:rPr>
            </w:pPr>
            <w:r w:rsidRPr="006A52EB">
              <w:rPr>
                <w:sz w:val="24"/>
                <w:szCs w:val="24"/>
              </w:rPr>
              <w:t>PTE Emissions</w:t>
            </w:r>
          </w:p>
          <w:p w14:paraId="06093580" w14:textId="77777777" w:rsidR="009733EB" w:rsidRPr="006A52EB" w:rsidRDefault="009733EB" w:rsidP="00C9427D">
            <w:pPr>
              <w:keepNext/>
              <w:jc w:val="center"/>
              <w:rPr>
                <w:sz w:val="24"/>
                <w:szCs w:val="24"/>
              </w:rPr>
            </w:pPr>
            <w:r w:rsidRPr="006A52EB">
              <w:rPr>
                <w:sz w:val="24"/>
                <w:szCs w:val="24"/>
              </w:rPr>
              <w:t>(tons/yr)</w:t>
            </w:r>
          </w:p>
        </w:tc>
      </w:tr>
      <w:tr w:rsidR="009733EB" w14:paraId="079CF9F9" w14:textId="77777777" w:rsidTr="00C9427D">
        <w:trPr>
          <w:trHeight w:val="413"/>
        </w:trPr>
        <w:tc>
          <w:tcPr>
            <w:tcW w:w="3945" w:type="dxa"/>
            <w:vAlign w:val="center"/>
          </w:tcPr>
          <w:p w14:paraId="45E1CCDB" w14:textId="77777777" w:rsidR="009733EB" w:rsidRPr="006A52EB" w:rsidRDefault="009733EB" w:rsidP="00C9427D">
            <w:pPr>
              <w:jc w:val="center"/>
              <w:rPr>
                <w:sz w:val="24"/>
                <w:szCs w:val="24"/>
              </w:rPr>
            </w:pPr>
            <w:r>
              <w:rPr>
                <w:sz w:val="24"/>
                <w:szCs w:val="24"/>
              </w:rPr>
              <w:t>Particulate Matter</w:t>
            </w:r>
            <w:r w:rsidR="00D90F67">
              <w:rPr>
                <w:sz w:val="24"/>
                <w:szCs w:val="24"/>
              </w:rPr>
              <w:t xml:space="preserve"> (TSP)</w:t>
            </w:r>
          </w:p>
        </w:tc>
        <w:tc>
          <w:tcPr>
            <w:tcW w:w="1980" w:type="dxa"/>
            <w:vAlign w:val="center"/>
          </w:tcPr>
          <w:p w14:paraId="027CC4F7" w14:textId="2F109945" w:rsidR="009733EB" w:rsidRPr="006A52EB" w:rsidRDefault="00CA29AE" w:rsidP="00C9427D">
            <w:pPr>
              <w:jc w:val="center"/>
              <w:rPr>
                <w:sz w:val="24"/>
                <w:szCs w:val="24"/>
              </w:rPr>
            </w:pPr>
            <w:r>
              <w:rPr>
                <w:sz w:val="24"/>
                <w:szCs w:val="24"/>
              </w:rPr>
              <w:t>8.86</w:t>
            </w:r>
          </w:p>
        </w:tc>
      </w:tr>
      <w:tr w:rsidR="009733EB" w14:paraId="79DA0FE6" w14:textId="77777777" w:rsidTr="00C9427D">
        <w:trPr>
          <w:trHeight w:val="341"/>
        </w:trPr>
        <w:tc>
          <w:tcPr>
            <w:tcW w:w="3945" w:type="dxa"/>
            <w:vAlign w:val="center"/>
          </w:tcPr>
          <w:p w14:paraId="2C2E6874" w14:textId="77777777" w:rsidR="009733EB" w:rsidRPr="006A52EB" w:rsidRDefault="009733EB" w:rsidP="00C9427D">
            <w:pPr>
              <w:jc w:val="center"/>
              <w:rPr>
                <w:sz w:val="24"/>
                <w:szCs w:val="24"/>
                <w:vertAlign w:val="subscript"/>
              </w:rPr>
            </w:pPr>
            <w:r>
              <w:rPr>
                <w:sz w:val="24"/>
                <w:szCs w:val="24"/>
              </w:rPr>
              <w:t>PM</w:t>
            </w:r>
            <w:r>
              <w:rPr>
                <w:sz w:val="24"/>
                <w:szCs w:val="24"/>
                <w:vertAlign w:val="subscript"/>
              </w:rPr>
              <w:t>10</w:t>
            </w:r>
          </w:p>
        </w:tc>
        <w:tc>
          <w:tcPr>
            <w:tcW w:w="1980" w:type="dxa"/>
            <w:vAlign w:val="center"/>
          </w:tcPr>
          <w:p w14:paraId="0B69EDF2" w14:textId="714662CA" w:rsidR="009733EB" w:rsidRPr="006A52EB" w:rsidRDefault="00CA29AE" w:rsidP="00C9427D">
            <w:pPr>
              <w:jc w:val="center"/>
              <w:rPr>
                <w:sz w:val="24"/>
                <w:szCs w:val="24"/>
              </w:rPr>
            </w:pPr>
            <w:r>
              <w:rPr>
                <w:sz w:val="24"/>
                <w:szCs w:val="24"/>
              </w:rPr>
              <w:t>8.86</w:t>
            </w:r>
          </w:p>
        </w:tc>
      </w:tr>
      <w:tr w:rsidR="009733EB" w14:paraId="713B142B" w14:textId="77777777" w:rsidTr="00C9427D">
        <w:trPr>
          <w:trHeight w:val="359"/>
        </w:trPr>
        <w:tc>
          <w:tcPr>
            <w:tcW w:w="3945" w:type="dxa"/>
            <w:vAlign w:val="center"/>
          </w:tcPr>
          <w:p w14:paraId="3DA0EED7" w14:textId="77777777" w:rsidR="009733EB" w:rsidRPr="006A52EB" w:rsidRDefault="009733EB" w:rsidP="00C9427D">
            <w:pPr>
              <w:jc w:val="center"/>
              <w:rPr>
                <w:sz w:val="24"/>
                <w:szCs w:val="24"/>
                <w:vertAlign w:val="subscript"/>
              </w:rPr>
            </w:pPr>
            <w:r>
              <w:rPr>
                <w:sz w:val="24"/>
                <w:szCs w:val="24"/>
              </w:rPr>
              <w:t>PM</w:t>
            </w:r>
            <w:r>
              <w:rPr>
                <w:sz w:val="24"/>
                <w:szCs w:val="24"/>
                <w:vertAlign w:val="subscript"/>
              </w:rPr>
              <w:t>2.5</w:t>
            </w:r>
          </w:p>
        </w:tc>
        <w:tc>
          <w:tcPr>
            <w:tcW w:w="1980" w:type="dxa"/>
            <w:vAlign w:val="center"/>
          </w:tcPr>
          <w:p w14:paraId="61F78F23" w14:textId="7C5463EF" w:rsidR="009733EB" w:rsidRPr="006A52EB" w:rsidRDefault="00CA29AE" w:rsidP="00C9427D">
            <w:pPr>
              <w:jc w:val="center"/>
              <w:rPr>
                <w:sz w:val="24"/>
                <w:szCs w:val="24"/>
              </w:rPr>
            </w:pPr>
            <w:r>
              <w:rPr>
                <w:sz w:val="24"/>
                <w:szCs w:val="24"/>
              </w:rPr>
              <w:t>0.29</w:t>
            </w:r>
          </w:p>
        </w:tc>
      </w:tr>
      <w:tr w:rsidR="009733EB" w14:paraId="56B04C90" w14:textId="77777777" w:rsidTr="00C9427D">
        <w:trPr>
          <w:trHeight w:val="350"/>
        </w:trPr>
        <w:tc>
          <w:tcPr>
            <w:tcW w:w="3945" w:type="dxa"/>
            <w:vAlign w:val="center"/>
          </w:tcPr>
          <w:p w14:paraId="0281A964" w14:textId="77777777" w:rsidR="009733EB" w:rsidRPr="006A52EB" w:rsidRDefault="00D90F67" w:rsidP="00C9427D">
            <w:pPr>
              <w:jc w:val="center"/>
              <w:rPr>
                <w:sz w:val="24"/>
                <w:szCs w:val="24"/>
              </w:rPr>
            </w:pPr>
            <w:r>
              <w:rPr>
                <w:sz w:val="24"/>
                <w:szCs w:val="24"/>
              </w:rPr>
              <w:t>Sulfur Dioxide (SO</w:t>
            </w:r>
            <w:r>
              <w:rPr>
                <w:sz w:val="24"/>
                <w:szCs w:val="24"/>
                <w:vertAlign w:val="subscript"/>
              </w:rPr>
              <w:t>2</w:t>
            </w:r>
            <w:r>
              <w:rPr>
                <w:sz w:val="24"/>
                <w:szCs w:val="24"/>
              </w:rPr>
              <w:t>)</w:t>
            </w:r>
          </w:p>
        </w:tc>
        <w:tc>
          <w:tcPr>
            <w:tcW w:w="1980" w:type="dxa"/>
            <w:vAlign w:val="center"/>
          </w:tcPr>
          <w:p w14:paraId="434C06DE" w14:textId="7CFDC502" w:rsidR="009733EB" w:rsidRPr="006A52EB" w:rsidRDefault="00CA29AE" w:rsidP="00C9427D">
            <w:pPr>
              <w:jc w:val="center"/>
              <w:rPr>
                <w:sz w:val="24"/>
                <w:szCs w:val="24"/>
              </w:rPr>
            </w:pPr>
            <w:r>
              <w:rPr>
                <w:sz w:val="24"/>
                <w:szCs w:val="24"/>
              </w:rPr>
              <w:t>0.00</w:t>
            </w:r>
          </w:p>
        </w:tc>
      </w:tr>
      <w:tr w:rsidR="009733EB" w14:paraId="6C24AEAD" w14:textId="77777777" w:rsidTr="00C9427D">
        <w:trPr>
          <w:trHeight w:val="350"/>
        </w:trPr>
        <w:tc>
          <w:tcPr>
            <w:tcW w:w="3945" w:type="dxa"/>
            <w:vAlign w:val="center"/>
          </w:tcPr>
          <w:p w14:paraId="44761FF5" w14:textId="610BF0FC" w:rsidR="009733EB" w:rsidRPr="006A52EB" w:rsidRDefault="00D90F67" w:rsidP="00C9427D">
            <w:pPr>
              <w:jc w:val="center"/>
              <w:rPr>
                <w:sz w:val="24"/>
                <w:szCs w:val="24"/>
              </w:rPr>
            </w:pPr>
            <w:r>
              <w:rPr>
                <w:sz w:val="24"/>
                <w:szCs w:val="24"/>
              </w:rPr>
              <w:t>Nitrogen Oxides (NO</w:t>
            </w:r>
            <w:r w:rsidR="00C9427D">
              <w:rPr>
                <w:sz w:val="24"/>
                <w:szCs w:val="24"/>
                <w:vertAlign w:val="subscript"/>
              </w:rPr>
              <w:t>X</w:t>
            </w:r>
            <w:r>
              <w:rPr>
                <w:sz w:val="24"/>
                <w:szCs w:val="24"/>
              </w:rPr>
              <w:t>)</w:t>
            </w:r>
          </w:p>
        </w:tc>
        <w:tc>
          <w:tcPr>
            <w:tcW w:w="1980" w:type="dxa"/>
            <w:vAlign w:val="center"/>
          </w:tcPr>
          <w:p w14:paraId="02B4C636" w14:textId="0455B3FE" w:rsidR="009733EB" w:rsidRPr="006A52EB" w:rsidRDefault="00CA29AE" w:rsidP="00C9427D">
            <w:pPr>
              <w:jc w:val="center"/>
              <w:rPr>
                <w:sz w:val="24"/>
                <w:szCs w:val="24"/>
              </w:rPr>
            </w:pPr>
            <w:r>
              <w:rPr>
                <w:sz w:val="24"/>
                <w:szCs w:val="24"/>
              </w:rPr>
              <w:t>0.00</w:t>
            </w:r>
          </w:p>
        </w:tc>
      </w:tr>
      <w:tr w:rsidR="009733EB" w14:paraId="0B4A852F" w14:textId="77777777" w:rsidTr="00C9427D">
        <w:trPr>
          <w:trHeight w:val="350"/>
        </w:trPr>
        <w:tc>
          <w:tcPr>
            <w:tcW w:w="3945" w:type="dxa"/>
            <w:vAlign w:val="center"/>
          </w:tcPr>
          <w:p w14:paraId="564E115E" w14:textId="77777777" w:rsidR="009733EB" w:rsidRPr="006A52EB" w:rsidRDefault="00D90F67" w:rsidP="00C9427D">
            <w:pPr>
              <w:jc w:val="center"/>
              <w:rPr>
                <w:sz w:val="24"/>
                <w:szCs w:val="24"/>
              </w:rPr>
            </w:pPr>
            <w:r>
              <w:rPr>
                <w:sz w:val="24"/>
                <w:szCs w:val="24"/>
              </w:rPr>
              <w:t>Carbon Monoxide (CO)</w:t>
            </w:r>
          </w:p>
        </w:tc>
        <w:tc>
          <w:tcPr>
            <w:tcW w:w="1980" w:type="dxa"/>
            <w:vAlign w:val="center"/>
          </w:tcPr>
          <w:p w14:paraId="0BFD30EC" w14:textId="3302D900" w:rsidR="009733EB" w:rsidRPr="006A52EB" w:rsidRDefault="00CA29AE" w:rsidP="00C9427D">
            <w:pPr>
              <w:jc w:val="center"/>
              <w:rPr>
                <w:sz w:val="24"/>
                <w:szCs w:val="24"/>
              </w:rPr>
            </w:pPr>
            <w:r>
              <w:rPr>
                <w:sz w:val="24"/>
                <w:szCs w:val="24"/>
              </w:rPr>
              <w:t>1.98</w:t>
            </w:r>
          </w:p>
        </w:tc>
      </w:tr>
      <w:tr w:rsidR="00D90F67" w14:paraId="79E28C66" w14:textId="77777777" w:rsidTr="00C9427D">
        <w:trPr>
          <w:trHeight w:val="350"/>
        </w:trPr>
        <w:tc>
          <w:tcPr>
            <w:tcW w:w="3945" w:type="dxa"/>
            <w:vAlign w:val="center"/>
          </w:tcPr>
          <w:p w14:paraId="44E41F6F" w14:textId="6B61F6CA" w:rsidR="00D90F67" w:rsidRDefault="00D90F67" w:rsidP="00C9427D">
            <w:pPr>
              <w:jc w:val="center"/>
              <w:rPr>
                <w:sz w:val="24"/>
                <w:szCs w:val="24"/>
              </w:rPr>
            </w:pPr>
            <w:r>
              <w:rPr>
                <w:sz w:val="24"/>
                <w:szCs w:val="24"/>
              </w:rPr>
              <w:t>Volatile Organic Compounds (VOC</w:t>
            </w:r>
            <w:r w:rsidR="00C9427D">
              <w:rPr>
                <w:sz w:val="24"/>
                <w:szCs w:val="24"/>
              </w:rPr>
              <w:t>s</w:t>
            </w:r>
            <w:r>
              <w:rPr>
                <w:sz w:val="24"/>
                <w:szCs w:val="24"/>
              </w:rPr>
              <w:t>)</w:t>
            </w:r>
          </w:p>
        </w:tc>
        <w:tc>
          <w:tcPr>
            <w:tcW w:w="1980" w:type="dxa"/>
            <w:vAlign w:val="center"/>
          </w:tcPr>
          <w:p w14:paraId="7E96CA79" w14:textId="2CCBA568" w:rsidR="00D90F67" w:rsidRPr="006A52EB" w:rsidRDefault="00CA29AE" w:rsidP="00C9427D">
            <w:pPr>
              <w:jc w:val="center"/>
              <w:rPr>
                <w:sz w:val="24"/>
                <w:szCs w:val="24"/>
              </w:rPr>
            </w:pPr>
            <w:r>
              <w:rPr>
                <w:sz w:val="24"/>
                <w:szCs w:val="24"/>
              </w:rPr>
              <w:t>16.38</w:t>
            </w:r>
          </w:p>
        </w:tc>
      </w:tr>
      <w:tr w:rsidR="009733EB" w14:paraId="61B89878" w14:textId="77777777" w:rsidTr="00C9427D">
        <w:trPr>
          <w:trHeight w:val="350"/>
        </w:trPr>
        <w:tc>
          <w:tcPr>
            <w:tcW w:w="3945" w:type="dxa"/>
            <w:vAlign w:val="center"/>
          </w:tcPr>
          <w:p w14:paraId="03311C6B" w14:textId="77777777" w:rsidR="009733EB" w:rsidRPr="006A52EB" w:rsidRDefault="00280FAA" w:rsidP="00C9427D">
            <w:pPr>
              <w:jc w:val="center"/>
              <w:rPr>
                <w:sz w:val="24"/>
                <w:szCs w:val="24"/>
              </w:rPr>
            </w:pPr>
            <w:r>
              <w:rPr>
                <w:sz w:val="24"/>
                <w:szCs w:val="24"/>
              </w:rPr>
              <w:t>Total Reduced Sulfur (TRS)</w:t>
            </w:r>
          </w:p>
        </w:tc>
        <w:tc>
          <w:tcPr>
            <w:tcW w:w="1980" w:type="dxa"/>
            <w:vAlign w:val="center"/>
          </w:tcPr>
          <w:p w14:paraId="0E1BF5FD" w14:textId="5F6659F3" w:rsidR="009733EB" w:rsidRPr="006A52EB" w:rsidRDefault="00CA29AE" w:rsidP="00C9427D">
            <w:pPr>
              <w:jc w:val="center"/>
              <w:rPr>
                <w:sz w:val="24"/>
                <w:szCs w:val="24"/>
              </w:rPr>
            </w:pPr>
            <w:r>
              <w:rPr>
                <w:sz w:val="24"/>
                <w:szCs w:val="24"/>
              </w:rPr>
              <w:t>0.00</w:t>
            </w:r>
          </w:p>
        </w:tc>
      </w:tr>
      <w:tr w:rsidR="00280FAA" w14:paraId="6402E7F3" w14:textId="77777777" w:rsidTr="00C9427D">
        <w:trPr>
          <w:trHeight w:val="350"/>
        </w:trPr>
        <w:tc>
          <w:tcPr>
            <w:tcW w:w="3945" w:type="dxa"/>
            <w:vAlign w:val="center"/>
          </w:tcPr>
          <w:p w14:paraId="01BE0EDC" w14:textId="77777777" w:rsidR="00280FAA" w:rsidRDefault="00280FAA" w:rsidP="00C9427D">
            <w:pPr>
              <w:jc w:val="center"/>
              <w:rPr>
                <w:sz w:val="24"/>
                <w:szCs w:val="24"/>
              </w:rPr>
            </w:pPr>
            <w:r>
              <w:rPr>
                <w:sz w:val="24"/>
                <w:szCs w:val="24"/>
              </w:rPr>
              <w:t>Lead</w:t>
            </w:r>
          </w:p>
        </w:tc>
        <w:tc>
          <w:tcPr>
            <w:tcW w:w="1980" w:type="dxa"/>
            <w:vAlign w:val="center"/>
          </w:tcPr>
          <w:p w14:paraId="734CCA89" w14:textId="2D82B9F6" w:rsidR="00280FAA" w:rsidRPr="006A52EB" w:rsidRDefault="00CA29AE" w:rsidP="00C9427D">
            <w:pPr>
              <w:jc w:val="center"/>
              <w:rPr>
                <w:sz w:val="24"/>
                <w:szCs w:val="24"/>
              </w:rPr>
            </w:pPr>
            <w:r>
              <w:rPr>
                <w:sz w:val="24"/>
                <w:szCs w:val="24"/>
              </w:rPr>
              <w:t>0.00</w:t>
            </w:r>
          </w:p>
        </w:tc>
      </w:tr>
      <w:tr w:rsidR="00280FAA" w14:paraId="68EC4650" w14:textId="77777777" w:rsidTr="00C9427D">
        <w:trPr>
          <w:trHeight w:val="341"/>
        </w:trPr>
        <w:tc>
          <w:tcPr>
            <w:tcW w:w="3945" w:type="dxa"/>
            <w:tcBorders>
              <w:bottom w:val="single" w:sz="4" w:space="0" w:color="auto"/>
            </w:tcBorders>
            <w:vAlign w:val="center"/>
          </w:tcPr>
          <w:p w14:paraId="5E8941B2" w14:textId="77777777" w:rsidR="00280FAA" w:rsidRDefault="00280FAA" w:rsidP="00C9427D">
            <w:pPr>
              <w:jc w:val="center"/>
              <w:rPr>
                <w:sz w:val="24"/>
                <w:szCs w:val="24"/>
              </w:rPr>
            </w:pPr>
            <w:r>
              <w:rPr>
                <w:sz w:val="24"/>
                <w:szCs w:val="24"/>
              </w:rPr>
              <w:t>CFC/HCFC</w:t>
            </w:r>
          </w:p>
        </w:tc>
        <w:tc>
          <w:tcPr>
            <w:tcW w:w="1980" w:type="dxa"/>
            <w:tcBorders>
              <w:bottom w:val="single" w:sz="4" w:space="0" w:color="auto"/>
            </w:tcBorders>
            <w:vAlign w:val="center"/>
          </w:tcPr>
          <w:p w14:paraId="52AA437F" w14:textId="346ED90F" w:rsidR="00280FAA" w:rsidRPr="006A52EB" w:rsidRDefault="00CA29AE" w:rsidP="00C9427D">
            <w:pPr>
              <w:jc w:val="center"/>
              <w:rPr>
                <w:sz w:val="24"/>
                <w:szCs w:val="24"/>
              </w:rPr>
            </w:pPr>
            <w:r>
              <w:rPr>
                <w:sz w:val="24"/>
                <w:szCs w:val="24"/>
              </w:rPr>
              <w:t>1.035</w:t>
            </w:r>
          </w:p>
        </w:tc>
      </w:tr>
      <w:tr w:rsidR="00280FAA" w14:paraId="686B6C93" w14:textId="77777777" w:rsidTr="00C9427D">
        <w:trPr>
          <w:trHeight w:val="323"/>
        </w:trPr>
        <w:tc>
          <w:tcPr>
            <w:tcW w:w="3945" w:type="dxa"/>
            <w:tcBorders>
              <w:top w:val="single" w:sz="4" w:space="0" w:color="auto"/>
              <w:bottom w:val="double" w:sz="4" w:space="0" w:color="auto"/>
            </w:tcBorders>
            <w:vAlign w:val="center"/>
          </w:tcPr>
          <w:p w14:paraId="4B524979" w14:textId="747A1E91" w:rsidR="00280FAA" w:rsidRDefault="00280FAA" w:rsidP="00C9427D">
            <w:pPr>
              <w:jc w:val="center"/>
              <w:rPr>
                <w:sz w:val="24"/>
                <w:szCs w:val="24"/>
              </w:rPr>
            </w:pPr>
            <w:r>
              <w:rPr>
                <w:sz w:val="24"/>
                <w:szCs w:val="24"/>
              </w:rPr>
              <w:t>Total HAP</w:t>
            </w:r>
            <w:r w:rsidR="00C9427D">
              <w:rPr>
                <w:sz w:val="24"/>
                <w:szCs w:val="24"/>
              </w:rPr>
              <w:t>s</w:t>
            </w:r>
          </w:p>
        </w:tc>
        <w:tc>
          <w:tcPr>
            <w:tcW w:w="1980" w:type="dxa"/>
            <w:tcBorders>
              <w:top w:val="single" w:sz="4" w:space="0" w:color="auto"/>
              <w:bottom w:val="double" w:sz="4" w:space="0" w:color="auto"/>
            </w:tcBorders>
            <w:vAlign w:val="center"/>
          </w:tcPr>
          <w:p w14:paraId="2ED97BB4" w14:textId="4B6447C4" w:rsidR="00280FAA" w:rsidRPr="006A52EB" w:rsidRDefault="00CA29AE" w:rsidP="00C9427D">
            <w:pPr>
              <w:jc w:val="center"/>
              <w:rPr>
                <w:sz w:val="24"/>
                <w:szCs w:val="24"/>
              </w:rPr>
            </w:pPr>
            <w:r>
              <w:rPr>
                <w:sz w:val="24"/>
                <w:szCs w:val="24"/>
              </w:rPr>
              <w:t>13.41</w:t>
            </w:r>
          </w:p>
        </w:tc>
      </w:tr>
    </w:tbl>
    <w:p w14:paraId="7C31287A" w14:textId="406B22E8" w:rsidR="009733EB" w:rsidRPr="006A52EB" w:rsidRDefault="00ED2C87" w:rsidP="00C9427D">
      <w:pPr>
        <w:ind w:left="180" w:hanging="180"/>
        <w:jc w:val="both"/>
        <w:rPr>
          <w:szCs w:val="24"/>
        </w:rPr>
      </w:pPr>
      <w:r w:rsidRPr="006A52EB">
        <w:rPr>
          <w:szCs w:val="24"/>
          <w:vertAlign w:val="superscript"/>
        </w:rPr>
        <w:t>1</w:t>
      </w:r>
      <w:r w:rsidR="00C9427D">
        <w:rPr>
          <w:szCs w:val="24"/>
        </w:rPr>
        <w:tab/>
      </w:r>
      <w:r w:rsidRPr="006A52EB">
        <w:rPr>
          <w:szCs w:val="24"/>
        </w:rPr>
        <w:t>The PTE emissions reflect any emission limits or enforceable restrictions included in the proposed permit</w:t>
      </w:r>
      <w:r w:rsidR="00F027FE">
        <w:rPr>
          <w:szCs w:val="24"/>
        </w:rPr>
        <w:t xml:space="preserve"> and are based on the emissions after the lateral expansion of the landfill</w:t>
      </w:r>
      <w:r w:rsidRPr="006A52EB">
        <w:rPr>
          <w:szCs w:val="24"/>
        </w:rPr>
        <w:t>.</w:t>
      </w:r>
    </w:p>
    <w:p w14:paraId="04EAD1CD" w14:textId="77777777" w:rsidR="00BA3BCF" w:rsidRDefault="00BA3BCF" w:rsidP="00104CE2">
      <w:pPr>
        <w:jc w:val="both"/>
        <w:rPr>
          <w:sz w:val="24"/>
          <w:szCs w:val="24"/>
        </w:rPr>
      </w:pPr>
    </w:p>
    <w:p w14:paraId="3F7F5427" w14:textId="77777777" w:rsidR="00BA3BCF" w:rsidRDefault="00BA3BCF" w:rsidP="00BA3BCF">
      <w:pPr>
        <w:jc w:val="both"/>
        <w:rPr>
          <w:sz w:val="24"/>
          <w:szCs w:val="24"/>
          <w:u w:val="single"/>
        </w:rPr>
      </w:pPr>
      <w:r w:rsidRPr="00F74657">
        <w:rPr>
          <w:sz w:val="24"/>
          <w:szCs w:val="24"/>
          <w:u w:val="single"/>
        </w:rPr>
        <w:t>PREVENTION OF SIGNIFICANT DETERIORATION (PSD) APPLICABILITY</w:t>
      </w:r>
    </w:p>
    <w:p w14:paraId="402F51AA" w14:textId="4ADA3437" w:rsidR="00BA3BCF" w:rsidRDefault="00C9427D" w:rsidP="00C9427D">
      <w:pPr>
        <w:spacing w:before="120" w:after="240"/>
        <w:jc w:val="both"/>
        <w:rPr>
          <w:color w:val="000000" w:themeColor="text1"/>
          <w:sz w:val="24"/>
          <w:szCs w:val="24"/>
        </w:rPr>
      </w:pPr>
      <w:r w:rsidRPr="00C9427D">
        <w:rPr>
          <w:color w:val="000000" w:themeColor="text1"/>
          <w:sz w:val="24"/>
          <w:szCs w:val="24"/>
        </w:rPr>
        <w:t>A MSW landfill is not one of the 28 categorical facilities listed in 40 CFR 52.21(b)(1)(</w:t>
      </w:r>
      <w:proofErr w:type="spellStart"/>
      <w:r w:rsidRPr="00C9427D">
        <w:rPr>
          <w:color w:val="000000" w:themeColor="text1"/>
          <w:sz w:val="24"/>
          <w:szCs w:val="24"/>
        </w:rPr>
        <w:t>i</w:t>
      </w:r>
      <w:proofErr w:type="spellEnd"/>
      <w:r w:rsidRPr="00C9427D">
        <w:rPr>
          <w:color w:val="000000" w:themeColor="text1"/>
          <w:sz w:val="24"/>
          <w:szCs w:val="24"/>
        </w:rPr>
        <w:t xml:space="preserve">)(A); therefore, the applicable PSD major source threshold is 250 tons per year for each regulated New Source Review (NSR) pollutant (with fugitive emissions not included in the initial assessment).  Based on the emissions profile, </w:t>
      </w:r>
      <w:r>
        <w:rPr>
          <w:color w:val="000000" w:themeColor="text1"/>
          <w:sz w:val="24"/>
          <w:szCs w:val="24"/>
        </w:rPr>
        <w:t>Canton Landfill</w:t>
      </w:r>
      <w:r w:rsidRPr="00C9427D">
        <w:rPr>
          <w:color w:val="000000" w:themeColor="text1"/>
          <w:sz w:val="24"/>
          <w:szCs w:val="24"/>
        </w:rPr>
        <w:t xml:space="preserve"> does not have the potential to emit any regulated pollutant more than 250 tons per year.  Therefore, the facility is considered an existing “minor NSR source” under the PSD program.</w:t>
      </w:r>
      <w:r w:rsidR="003661C1">
        <w:rPr>
          <w:color w:val="000000" w:themeColor="text1"/>
          <w:sz w:val="24"/>
          <w:szCs w:val="24"/>
        </w:rPr>
        <w:t xml:space="preserve"> </w:t>
      </w:r>
    </w:p>
    <w:p w14:paraId="3F2F9F5B" w14:textId="2DB07D6A" w:rsidR="00C9427D" w:rsidRPr="00C9427D" w:rsidRDefault="00C9427D" w:rsidP="00C9427D">
      <w:pPr>
        <w:spacing w:before="120"/>
        <w:jc w:val="both"/>
        <w:rPr>
          <w:color w:val="000000" w:themeColor="text1"/>
          <w:sz w:val="24"/>
          <w:szCs w:val="24"/>
        </w:rPr>
      </w:pPr>
      <w:r w:rsidRPr="00C9427D">
        <w:rPr>
          <w:color w:val="000000" w:themeColor="text1"/>
          <w:sz w:val="24"/>
          <w:szCs w:val="24"/>
        </w:rPr>
        <w:t>This permitting action will not change the current PSD status of the facility.</w:t>
      </w:r>
    </w:p>
    <w:p w14:paraId="725CC35E" w14:textId="77777777" w:rsidR="00BA3BCF" w:rsidRDefault="00BA3BCF" w:rsidP="003661C1">
      <w:pPr>
        <w:spacing w:before="240" w:after="120"/>
        <w:jc w:val="both"/>
        <w:rPr>
          <w:sz w:val="24"/>
          <w:szCs w:val="24"/>
          <w:u w:val="single"/>
        </w:rPr>
      </w:pPr>
      <w:r>
        <w:rPr>
          <w:sz w:val="24"/>
          <w:szCs w:val="24"/>
          <w:u w:val="single"/>
        </w:rPr>
        <w:t>FACILITY MODIFICATIONS AND/OR PERMIT CHANGES</w:t>
      </w:r>
    </w:p>
    <w:p w14:paraId="341D4011" w14:textId="124C323E" w:rsidR="00842A1B" w:rsidRPr="002478F3" w:rsidRDefault="003661C1" w:rsidP="00BA3BCF">
      <w:pPr>
        <w:jc w:val="both"/>
        <w:rPr>
          <w:sz w:val="24"/>
          <w:szCs w:val="24"/>
        </w:rPr>
      </w:pPr>
      <w:r w:rsidRPr="002478F3">
        <w:rPr>
          <w:sz w:val="24"/>
          <w:szCs w:val="24"/>
        </w:rPr>
        <w:t>As discussed previously, a lateral expansion of the landfill was addressed in the Title V application</w:t>
      </w:r>
      <w:r w:rsidR="009E6919" w:rsidRPr="002478F3">
        <w:rPr>
          <w:sz w:val="24"/>
          <w:szCs w:val="24"/>
        </w:rPr>
        <w:t xml:space="preserve"> to increase the waste disposal capacity from 1,332,505 tons to 3,940,031 tons</w:t>
      </w:r>
      <w:r w:rsidR="009E6919" w:rsidRPr="00D654AF">
        <w:rPr>
          <w:sz w:val="24"/>
          <w:szCs w:val="24"/>
        </w:rPr>
        <w:t xml:space="preserve">. </w:t>
      </w:r>
      <w:r w:rsidR="00C9427D">
        <w:rPr>
          <w:sz w:val="24"/>
          <w:szCs w:val="24"/>
        </w:rPr>
        <w:t xml:space="preserve"> </w:t>
      </w:r>
      <w:r w:rsidR="00756ECA" w:rsidRPr="00D654AF">
        <w:rPr>
          <w:sz w:val="24"/>
          <w:szCs w:val="24"/>
        </w:rPr>
        <w:t xml:space="preserve">Prior to the expansion, the facility </w:t>
      </w:r>
      <w:r w:rsidR="00D654AF" w:rsidRPr="00D654AF">
        <w:rPr>
          <w:sz w:val="24"/>
          <w:szCs w:val="24"/>
        </w:rPr>
        <w:t>is</w:t>
      </w:r>
      <w:r w:rsidR="00756ECA" w:rsidRPr="00D654AF">
        <w:rPr>
          <w:sz w:val="24"/>
          <w:szCs w:val="24"/>
        </w:rPr>
        <w:t xml:space="preserve"> subject to the requirements</w:t>
      </w:r>
      <w:r w:rsidR="00D654AF" w:rsidRPr="00D654AF">
        <w:rPr>
          <w:sz w:val="24"/>
          <w:szCs w:val="24"/>
        </w:rPr>
        <w:t xml:space="preserve"> </w:t>
      </w:r>
      <w:r w:rsidR="00D654AF">
        <w:rPr>
          <w:sz w:val="24"/>
          <w:szCs w:val="24"/>
        </w:rPr>
        <w:t>of</w:t>
      </w:r>
      <w:r w:rsidR="00756ECA" w:rsidRPr="00D654AF">
        <w:rPr>
          <w:sz w:val="24"/>
          <w:szCs w:val="24"/>
        </w:rPr>
        <w:t xml:space="preserve"> </w:t>
      </w:r>
      <w:r w:rsidR="00C55BED">
        <w:rPr>
          <w:sz w:val="24"/>
          <w:szCs w:val="24"/>
        </w:rPr>
        <w:t xml:space="preserve">40 CFR 62, Subpart OOO – </w:t>
      </w:r>
      <w:r w:rsidR="00C55BED" w:rsidRPr="00C55BED">
        <w:rPr>
          <w:sz w:val="24"/>
          <w:szCs w:val="24"/>
        </w:rPr>
        <w:t>Federal</w:t>
      </w:r>
      <w:r w:rsidR="00C55BED">
        <w:rPr>
          <w:sz w:val="24"/>
          <w:szCs w:val="24"/>
        </w:rPr>
        <w:t xml:space="preserve"> </w:t>
      </w:r>
      <w:r w:rsidR="00C55BED" w:rsidRPr="00C55BED">
        <w:rPr>
          <w:sz w:val="24"/>
          <w:szCs w:val="24"/>
        </w:rPr>
        <w:t xml:space="preserve">Plan </w:t>
      </w:r>
      <w:r w:rsidR="00C55BED" w:rsidRPr="00C55BED">
        <w:rPr>
          <w:sz w:val="24"/>
          <w:szCs w:val="24"/>
        </w:rPr>
        <w:lastRenderedPageBreak/>
        <w:t xml:space="preserve">Requirements for Municipal Solid Waste Landfills That Commenced Construction </w:t>
      </w:r>
      <w:proofErr w:type="gramStart"/>
      <w:r w:rsidR="00C55BED" w:rsidRPr="00C55BED">
        <w:rPr>
          <w:sz w:val="24"/>
          <w:szCs w:val="24"/>
        </w:rPr>
        <w:t>On</w:t>
      </w:r>
      <w:proofErr w:type="gramEnd"/>
      <w:r w:rsidR="00C55BED" w:rsidRPr="00C55BED">
        <w:rPr>
          <w:sz w:val="24"/>
          <w:szCs w:val="24"/>
        </w:rPr>
        <w:t xml:space="preserve"> or Before July 17, </w:t>
      </w:r>
      <w:proofErr w:type="gramStart"/>
      <w:r w:rsidR="00C55BED" w:rsidRPr="00C55BED">
        <w:rPr>
          <w:sz w:val="24"/>
          <w:szCs w:val="24"/>
        </w:rPr>
        <w:t>2014</w:t>
      </w:r>
      <w:proofErr w:type="gramEnd"/>
      <w:r w:rsidR="00C55BED" w:rsidRPr="00C55BED">
        <w:rPr>
          <w:sz w:val="24"/>
          <w:szCs w:val="24"/>
        </w:rPr>
        <w:t xml:space="preserve"> and Have Not Been Modified or Reconstructed Since July 17, 2014</w:t>
      </w:r>
      <w:r w:rsidR="00C55BED">
        <w:rPr>
          <w:sz w:val="24"/>
          <w:szCs w:val="24"/>
        </w:rPr>
        <w:t>.</w:t>
      </w:r>
      <w:r w:rsidR="00C9427D">
        <w:rPr>
          <w:sz w:val="24"/>
          <w:szCs w:val="24"/>
        </w:rPr>
        <w:t xml:space="preserve"> </w:t>
      </w:r>
      <w:r w:rsidR="00C55BED">
        <w:rPr>
          <w:sz w:val="24"/>
          <w:szCs w:val="24"/>
        </w:rPr>
        <w:t xml:space="preserve"> </w:t>
      </w:r>
      <w:r w:rsidR="000A0C6F" w:rsidRPr="000A0C6F">
        <w:rPr>
          <w:sz w:val="24"/>
          <w:szCs w:val="24"/>
        </w:rPr>
        <w:t>S</w:t>
      </w:r>
      <w:r w:rsidR="00756ECA" w:rsidRPr="000A0C6F">
        <w:rPr>
          <w:sz w:val="24"/>
          <w:szCs w:val="24"/>
        </w:rPr>
        <w:t xml:space="preserve">ince the design capacity was less than 2.5 million megagrams per year and 2.5 million cubic yards, the facility was only required to submit the initial design capacity report </w:t>
      </w:r>
      <w:r w:rsidR="00842A1B" w:rsidRPr="000A0C6F">
        <w:rPr>
          <w:sz w:val="24"/>
          <w:szCs w:val="24"/>
        </w:rPr>
        <w:t xml:space="preserve">until such time the landfill </w:t>
      </w:r>
      <w:r w:rsidR="00377E35" w:rsidRPr="000A0C6F">
        <w:rPr>
          <w:sz w:val="24"/>
          <w:szCs w:val="24"/>
        </w:rPr>
        <w:t>i</w:t>
      </w:r>
      <w:r w:rsidR="00842A1B" w:rsidRPr="000A0C6F">
        <w:rPr>
          <w:sz w:val="24"/>
          <w:szCs w:val="24"/>
        </w:rPr>
        <w:t>s modified to exceed these thresholds.</w:t>
      </w:r>
      <w:r w:rsidR="00842A1B" w:rsidRPr="002478F3">
        <w:rPr>
          <w:sz w:val="24"/>
          <w:szCs w:val="24"/>
        </w:rPr>
        <w:t xml:space="preserve"> </w:t>
      </w:r>
    </w:p>
    <w:p w14:paraId="78F2DC4C" w14:textId="77777777" w:rsidR="00842A1B" w:rsidRPr="002478F3" w:rsidRDefault="00842A1B" w:rsidP="00BA3BCF">
      <w:pPr>
        <w:jc w:val="both"/>
        <w:rPr>
          <w:sz w:val="24"/>
          <w:szCs w:val="24"/>
        </w:rPr>
      </w:pPr>
    </w:p>
    <w:p w14:paraId="6BBFDA77" w14:textId="51EEABE7" w:rsidR="00BA3BCF" w:rsidRPr="002478F3" w:rsidRDefault="00842A1B" w:rsidP="00BA3BCF">
      <w:pPr>
        <w:jc w:val="both"/>
        <w:rPr>
          <w:sz w:val="24"/>
          <w:szCs w:val="24"/>
        </w:rPr>
      </w:pPr>
      <w:r w:rsidRPr="000A0C6F">
        <w:rPr>
          <w:sz w:val="24"/>
          <w:szCs w:val="24"/>
        </w:rPr>
        <w:t xml:space="preserve">Since the facility is proposing to expand the landfill after 2014 and the expansion will result in the capacity thresholds being exceeded, the facility will be subject to the applicable requirements of 40 CFR </w:t>
      </w:r>
      <w:r w:rsidR="00C9427D">
        <w:rPr>
          <w:sz w:val="24"/>
          <w:szCs w:val="24"/>
        </w:rPr>
        <w:t xml:space="preserve">Part </w:t>
      </w:r>
      <w:r w:rsidRPr="000A0C6F">
        <w:rPr>
          <w:sz w:val="24"/>
          <w:szCs w:val="24"/>
        </w:rPr>
        <w:t xml:space="preserve">60, Subpart XXX instead of </w:t>
      </w:r>
      <w:r w:rsidR="000A0C6F" w:rsidRPr="000A0C6F">
        <w:rPr>
          <w:color w:val="000000" w:themeColor="text1"/>
          <w:sz w:val="24"/>
          <w:szCs w:val="24"/>
        </w:rPr>
        <w:t xml:space="preserve">40 CFR </w:t>
      </w:r>
      <w:r w:rsidR="00C9427D">
        <w:rPr>
          <w:color w:val="000000" w:themeColor="text1"/>
          <w:sz w:val="24"/>
          <w:szCs w:val="24"/>
        </w:rPr>
        <w:t xml:space="preserve">Part </w:t>
      </w:r>
      <w:r w:rsidR="000A0C6F" w:rsidRPr="000A0C6F">
        <w:rPr>
          <w:color w:val="000000" w:themeColor="text1"/>
          <w:sz w:val="24"/>
          <w:szCs w:val="24"/>
        </w:rPr>
        <w:t>62 Subpart OOO</w:t>
      </w:r>
      <w:r w:rsidRPr="000A0C6F">
        <w:rPr>
          <w:sz w:val="24"/>
          <w:szCs w:val="24"/>
        </w:rPr>
        <w:t xml:space="preserve">. </w:t>
      </w:r>
      <w:r w:rsidR="00C9427D">
        <w:rPr>
          <w:sz w:val="24"/>
          <w:szCs w:val="24"/>
        </w:rPr>
        <w:t xml:space="preserve"> The e</w:t>
      </w:r>
      <w:r w:rsidR="009E6919" w:rsidRPr="000A0C6F">
        <w:rPr>
          <w:sz w:val="24"/>
          <w:szCs w:val="24"/>
        </w:rPr>
        <w:t xml:space="preserve">missions from the landfill are not required to be </w:t>
      </w:r>
      <w:r w:rsidRPr="000A0C6F">
        <w:rPr>
          <w:sz w:val="24"/>
          <w:szCs w:val="24"/>
        </w:rPr>
        <w:t xml:space="preserve">collected and </w:t>
      </w:r>
      <w:r w:rsidR="009E6919" w:rsidRPr="000A0C6F">
        <w:rPr>
          <w:sz w:val="24"/>
          <w:szCs w:val="24"/>
        </w:rPr>
        <w:t xml:space="preserve">controlled </w:t>
      </w:r>
      <w:r w:rsidR="00C9427D">
        <w:rPr>
          <w:sz w:val="24"/>
          <w:szCs w:val="24"/>
        </w:rPr>
        <w:t xml:space="preserve">given that the estimated emission rate of non-methane organic compounds (NMOCS) does not exceed the regulatory </w:t>
      </w:r>
      <w:r w:rsidR="00756ECA" w:rsidRPr="000A0C6F">
        <w:rPr>
          <w:sz w:val="24"/>
          <w:szCs w:val="24"/>
        </w:rPr>
        <w:t>threshold (</w:t>
      </w:r>
      <w:r w:rsidR="00072EE6" w:rsidRPr="000A0C6F">
        <w:rPr>
          <w:sz w:val="24"/>
          <w:szCs w:val="24"/>
        </w:rPr>
        <w:t xml:space="preserve">i.e., </w:t>
      </w:r>
      <w:r w:rsidR="00756ECA" w:rsidRPr="000A0C6F">
        <w:rPr>
          <w:sz w:val="24"/>
          <w:szCs w:val="24"/>
        </w:rPr>
        <w:t>34 megagrams</w:t>
      </w:r>
      <w:r w:rsidR="00C9427D">
        <w:rPr>
          <w:sz w:val="24"/>
          <w:szCs w:val="24"/>
        </w:rPr>
        <w:t xml:space="preserve"> </w:t>
      </w:r>
      <w:r w:rsidR="00C70670">
        <w:rPr>
          <w:sz w:val="24"/>
          <w:szCs w:val="24"/>
        </w:rPr>
        <w:t xml:space="preserve">per </w:t>
      </w:r>
      <w:r w:rsidR="00756ECA" w:rsidRPr="000A0C6F">
        <w:rPr>
          <w:sz w:val="24"/>
          <w:szCs w:val="24"/>
        </w:rPr>
        <w:t>year).</w:t>
      </w:r>
      <w:r w:rsidR="00C9427D">
        <w:rPr>
          <w:sz w:val="24"/>
          <w:szCs w:val="24"/>
        </w:rPr>
        <w:t xml:space="preserve"> </w:t>
      </w:r>
      <w:r w:rsidR="00072EE6" w:rsidRPr="000A0C6F">
        <w:rPr>
          <w:sz w:val="24"/>
          <w:szCs w:val="24"/>
        </w:rPr>
        <w:t xml:space="preserve"> </w:t>
      </w:r>
      <w:r w:rsidR="00C70670">
        <w:rPr>
          <w:sz w:val="24"/>
          <w:szCs w:val="24"/>
        </w:rPr>
        <w:t xml:space="preserve">Once </w:t>
      </w:r>
      <w:r w:rsidR="00072EE6" w:rsidRPr="000A0C6F">
        <w:rPr>
          <w:sz w:val="24"/>
          <w:szCs w:val="24"/>
        </w:rPr>
        <w:t xml:space="preserve">the estimated </w:t>
      </w:r>
      <w:r w:rsidR="00C70670">
        <w:rPr>
          <w:sz w:val="24"/>
          <w:szCs w:val="24"/>
        </w:rPr>
        <w:t xml:space="preserve">NMOC </w:t>
      </w:r>
      <w:r w:rsidR="00072EE6" w:rsidRPr="000A0C6F">
        <w:rPr>
          <w:sz w:val="24"/>
          <w:szCs w:val="24"/>
        </w:rPr>
        <w:t xml:space="preserve">emission rate exceeds the </w:t>
      </w:r>
      <w:r w:rsidR="00C70670">
        <w:rPr>
          <w:sz w:val="24"/>
          <w:szCs w:val="24"/>
        </w:rPr>
        <w:t xml:space="preserve">referenced </w:t>
      </w:r>
      <w:r w:rsidR="00072EE6" w:rsidRPr="000A0C6F">
        <w:rPr>
          <w:sz w:val="24"/>
          <w:szCs w:val="24"/>
        </w:rPr>
        <w:t xml:space="preserve">threshold, </w:t>
      </w:r>
      <w:r w:rsidR="00C70670">
        <w:rPr>
          <w:sz w:val="24"/>
          <w:szCs w:val="24"/>
        </w:rPr>
        <w:t>Canton Landfill</w:t>
      </w:r>
      <w:r w:rsidR="00072EE6" w:rsidRPr="000A0C6F">
        <w:rPr>
          <w:sz w:val="24"/>
          <w:szCs w:val="24"/>
        </w:rPr>
        <w:t xml:space="preserve"> will be required to design, install, and operate a gas collection and control system</w:t>
      </w:r>
      <w:r w:rsidR="00C70670">
        <w:rPr>
          <w:sz w:val="24"/>
          <w:szCs w:val="24"/>
        </w:rPr>
        <w:t xml:space="preserve"> (GCCS)</w:t>
      </w:r>
      <w:r w:rsidR="00072EE6" w:rsidRPr="000A0C6F">
        <w:rPr>
          <w:sz w:val="24"/>
          <w:szCs w:val="24"/>
        </w:rPr>
        <w:t>.</w:t>
      </w:r>
      <w:r w:rsidR="00C9427D">
        <w:rPr>
          <w:sz w:val="24"/>
          <w:szCs w:val="24"/>
        </w:rPr>
        <w:t xml:space="preserve"> </w:t>
      </w:r>
    </w:p>
    <w:p w14:paraId="3A2D0808" w14:textId="77777777" w:rsidR="00BA3BCF" w:rsidRDefault="00BA3BCF" w:rsidP="00104CE2">
      <w:pPr>
        <w:jc w:val="both"/>
        <w:rPr>
          <w:sz w:val="24"/>
          <w:szCs w:val="24"/>
          <w:u w:val="single"/>
        </w:rPr>
      </w:pPr>
    </w:p>
    <w:p w14:paraId="6C99FE09" w14:textId="77777777" w:rsidR="00531513" w:rsidRDefault="00AB6090" w:rsidP="00104CE2">
      <w:pPr>
        <w:jc w:val="both"/>
        <w:rPr>
          <w:sz w:val="24"/>
          <w:szCs w:val="24"/>
        </w:rPr>
      </w:pPr>
      <w:r>
        <w:rPr>
          <w:sz w:val="24"/>
          <w:szCs w:val="24"/>
          <w:u w:val="single"/>
        </w:rPr>
        <w:t>COMPLIANCE ASSURANCE MONITORING (</w:t>
      </w:r>
      <w:r w:rsidR="00531513">
        <w:rPr>
          <w:sz w:val="24"/>
          <w:szCs w:val="24"/>
          <w:u w:val="single"/>
        </w:rPr>
        <w:t>CAM</w:t>
      </w:r>
      <w:r>
        <w:rPr>
          <w:sz w:val="24"/>
          <w:szCs w:val="24"/>
          <w:u w:val="single"/>
        </w:rPr>
        <w:t>)</w:t>
      </w:r>
      <w:r w:rsidR="00531513">
        <w:rPr>
          <w:sz w:val="24"/>
          <w:szCs w:val="24"/>
          <w:u w:val="single"/>
        </w:rPr>
        <w:t xml:space="preserve"> APPLICABILITY</w:t>
      </w:r>
    </w:p>
    <w:p w14:paraId="6AB38505" w14:textId="77777777" w:rsidR="00AD7559" w:rsidRPr="00AD7559" w:rsidRDefault="00AD7559" w:rsidP="00C9427D">
      <w:pPr>
        <w:spacing w:before="120" w:after="240"/>
        <w:jc w:val="both"/>
        <w:rPr>
          <w:sz w:val="24"/>
          <w:szCs w:val="24"/>
        </w:rPr>
      </w:pPr>
      <w:r w:rsidRPr="00AD7559">
        <w:rPr>
          <w:sz w:val="24"/>
          <w:szCs w:val="24"/>
        </w:rPr>
        <w:t xml:space="preserve">40 CFR Part 64 specifies the requirements for </w:t>
      </w:r>
      <w:r w:rsidR="00AB6090">
        <w:rPr>
          <w:sz w:val="24"/>
          <w:szCs w:val="24"/>
        </w:rPr>
        <w:t>CAM</w:t>
      </w:r>
      <w:r w:rsidRPr="00AD7559">
        <w:rPr>
          <w:sz w:val="24"/>
          <w:szCs w:val="24"/>
        </w:rPr>
        <w:t xml:space="preserve">.  The general applicability of this rule can be found in 40 CFR 64.2 and requires a Title V source to comply with the CAM requirements if </w:t>
      </w:r>
      <w:r>
        <w:rPr>
          <w:sz w:val="24"/>
          <w:szCs w:val="24"/>
        </w:rPr>
        <w:t>all three of the</w:t>
      </w:r>
      <w:r w:rsidRPr="00AD7559">
        <w:rPr>
          <w:sz w:val="24"/>
          <w:szCs w:val="24"/>
        </w:rPr>
        <w:t xml:space="preserve"> following criteria are met</w:t>
      </w:r>
      <w:r w:rsidR="006F0510">
        <w:rPr>
          <w:sz w:val="24"/>
          <w:szCs w:val="24"/>
        </w:rPr>
        <w:t xml:space="preserve"> for a pollutant-specific emission unit (PSEU)</w:t>
      </w:r>
      <w:r w:rsidRPr="00AD7559">
        <w:rPr>
          <w:sz w:val="24"/>
          <w:szCs w:val="24"/>
        </w:rPr>
        <w:t>:</w:t>
      </w:r>
    </w:p>
    <w:p w14:paraId="02CDD438" w14:textId="77777777" w:rsidR="00AD7559" w:rsidRPr="00AD7559" w:rsidRDefault="00AD7559" w:rsidP="00C9427D">
      <w:pPr>
        <w:numPr>
          <w:ilvl w:val="0"/>
          <w:numId w:val="2"/>
        </w:numPr>
        <w:ind w:left="360" w:hanging="360"/>
        <w:jc w:val="both"/>
        <w:rPr>
          <w:sz w:val="24"/>
          <w:szCs w:val="24"/>
        </w:rPr>
      </w:pPr>
      <w:r w:rsidRPr="00AD7559">
        <w:rPr>
          <w:sz w:val="24"/>
          <w:szCs w:val="24"/>
        </w:rPr>
        <w:t>The unit is subject to an emission limitation or standard for a regulated air pollutant other than exem</w:t>
      </w:r>
      <w:r>
        <w:rPr>
          <w:sz w:val="24"/>
          <w:szCs w:val="24"/>
        </w:rPr>
        <w:t>ptions under 40 CFR 64.2(b)(1);</w:t>
      </w:r>
    </w:p>
    <w:p w14:paraId="2D531D2B" w14:textId="77777777" w:rsidR="00AD7559" w:rsidRPr="00AD7559" w:rsidRDefault="00AD7559" w:rsidP="00C9427D">
      <w:pPr>
        <w:numPr>
          <w:ilvl w:val="0"/>
          <w:numId w:val="2"/>
        </w:numPr>
        <w:spacing w:before="120"/>
        <w:ind w:left="360" w:hanging="360"/>
        <w:jc w:val="both"/>
        <w:rPr>
          <w:sz w:val="24"/>
          <w:szCs w:val="24"/>
        </w:rPr>
      </w:pPr>
      <w:r w:rsidRPr="00AD7559">
        <w:rPr>
          <w:sz w:val="24"/>
          <w:szCs w:val="24"/>
        </w:rPr>
        <w:t xml:space="preserve">The unit uses a control device to </w:t>
      </w:r>
      <w:r>
        <w:rPr>
          <w:sz w:val="24"/>
          <w:szCs w:val="24"/>
        </w:rPr>
        <w:t>comply with</w:t>
      </w:r>
      <w:r w:rsidRPr="00AD7559">
        <w:rPr>
          <w:sz w:val="24"/>
          <w:szCs w:val="24"/>
        </w:rPr>
        <w:t xml:space="preserve"> the standard</w:t>
      </w:r>
      <w:r>
        <w:rPr>
          <w:sz w:val="24"/>
          <w:szCs w:val="24"/>
        </w:rPr>
        <w:t>;</w:t>
      </w:r>
      <w:r w:rsidRPr="00AD7559">
        <w:rPr>
          <w:sz w:val="24"/>
          <w:szCs w:val="24"/>
        </w:rPr>
        <w:t xml:space="preserve"> and</w:t>
      </w:r>
    </w:p>
    <w:p w14:paraId="6892D6A2" w14:textId="77777777" w:rsidR="00AD7559" w:rsidRPr="00AD7559" w:rsidRDefault="00AD7559" w:rsidP="00C9427D">
      <w:pPr>
        <w:numPr>
          <w:ilvl w:val="0"/>
          <w:numId w:val="2"/>
        </w:numPr>
        <w:spacing w:before="120" w:after="240"/>
        <w:ind w:left="360" w:hanging="360"/>
        <w:jc w:val="both"/>
        <w:rPr>
          <w:sz w:val="24"/>
          <w:szCs w:val="24"/>
        </w:rPr>
      </w:pPr>
      <w:r w:rsidRPr="00AD7559">
        <w:rPr>
          <w:sz w:val="24"/>
          <w:szCs w:val="24"/>
        </w:rPr>
        <w:t xml:space="preserve">The unit has pre-control emissions exceeding </w:t>
      </w:r>
      <w:r w:rsidR="00C72133">
        <w:rPr>
          <w:sz w:val="24"/>
          <w:szCs w:val="24"/>
        </w:rPr>
        <w:t>Title V major source threshold</w:t>
      </w:r>
      <w:r w:rsidRPr="00AD7559">
        <w:rPr>
          <w:sz w:val="24"/>
          <w:szCs w:val="24"/>
        </w:rPr>
        <w:t>.</w:t>
      </w:r>
    </w:p>
    <w:p w14:paraId="57211BAD" w14:textId="589F8609" w:rsidR="00B3429E" w:rsidRDefault="00C9427D" w:rsidP="00C9427D">
      <w:pPr>
        <w:jc w:val="both"/>
        <w:rPr>
          <w:sz w:val="24"/>
          <w:szCs w:val="24"/>
        </w:rPr>
      </w:pPr>
      <w:r w:rsidRPr="00C9427D">
        <w:rPr>
          <w:sz w:val="24"/>
          <w:szCs w:val="24"/>
        </w:rPr>
        <w:t xml:space="preserve">As the MSW landfill (i.e., the PSEU) is not subject to an emission limit that meets the indicated criteria nor is there any control equipment associated with the landfill, CAM </w:t>
      </w:r>
      <w:r w:rsidRPr="00C9427D">
        <w:rPr>
          <w:sz w:val="24"/>
          <w:szCs w:val="24"/>
          <w:u w:val="single"/>
        </w:rPr>
        <w:t>is not</w:t>
      </w:r>
      <w:r w:rsidRPr="00C9427D">
        <w:rPr>
          <w:sz w:val="24"/>
          <w:szCs w:val="24"/>
        </w:rPr>
        <w:t xml:space="preserve"> applicable.</w:t>
      </w:r>
    </w:p>
    <w:p w14:paraId="3A9F3AD0" w14:textId="77777777" w:rsidR="00B3429E" w:rsidRDefault="00B3429E" w:rsidP="00B3429E">
      <w:pPr>
        <w:jc w:val="both"/>
        <w:rPr>
          <w:sz w:val="24"/>
          <w:szCs w:val="24"/>
        </w:rPr>
      </w:pPr>
    </w:p>
    <w:p w14:paraId="2A021F48" w14:textId="77777777" w:rsidR="00B3429E" w:rsidRDefault="00AE4F70" w:rsidP="00A45645">
      <w:pPr>
        <w:spacing w:after="240"/>
        <w:jc w:val="both"/>
        <w:rPr>
          <w:sz w:val="24"/>
          <w:szCs w:val="24"/>
          <w:u w:val="single"/>
        </w:rPr>
      </w:pPr>
      <w:r>
        <w:rPr>
          <w:sz w:val="24"/>
          <w:szCs w:val="24"/>
          <w:u w:val="single"/>
        </w:rPr>
        <w:t xml:space="preserve">NATIONAL EMISSION STANDARDS FOR HAZARDOUS AIR POLLUTANTS (NESHAP) </w:t>
      </w:r>
      <w:r w:rsidR="00531513">
        <w:rPr>
          <w:sz w:val="24"/>
          <w:szCs w:val="24"/>
          <w:u w:val="single"/>
        </w:rPr>
        <w:t>APPLICABILITY</w:t>
      </w:r>
    </w:p>
    <w:p w14:paraId="54410D12" w14:textId="354CFE32" w:rsidR="00B3429E" w:rsidRDefault="008D05E2" w:rsidP="00C70670">
      <w:pPr>
        <w:spacing w:before="120"/>
        <w:jc w:val="both"/>
        <w:rPr>
          <w:color w:val="000000" w:themeColor="text1"/>
          <w:sz w:val="24"/>
          <w:szCs w:val="24"/>
        </w:rPr>
      </w:pPr>
      <w:r>
        <w:rPr>
          <w:b/>
          <w:i/>
          <w:sz w:val="24"/>
          <w:szCs w:val="24"/>
        </w:rPr>
        <w:t xml:space="preserve">40 CFR </w:t>
      </w:r>
      <w:r w:rsidR="00C70670">
        <w:rPr>
          <w:b/>
          <w:i/>
          <w:sz w:val="24"/>
          <w:szCs w:val="24"/>
        </w:rPr>
        <w:t xml:space="preserve">Part </w:t>
      </w:r>
      <w:r>
        <w:rPr>
          <w:b/>
          <w:i/>
          <w:sz w:val="24"/>
          <w:szCs w:val="24"/>
        </w:rPr>
        <w:t>61</w:t>
      </w:r>
      <w:r w:rsidR="009D25D0">
        <w:rPr>
          <w:b/>
          <w:i/>
          <w:sz w:val="24"/>
          <w:szCs w:val="24"/>
        </w:rPr>
        <w:t>,</w:t>
      </w:r>
      <w:r>
        <w:rPr>
          <w:b/>
          <w:i/>
          <w:sz w:val="24"/>
          <w:szCs w:val="24"/>
        </w:rPr>
        <w:t xml:space="preserve"> Subpart M – </w:t>
      </w:r>
      <w:r>
        <w:rPr>
          <w:b/>
          <w:bCs/>
          <w:i/>
          <w:color w:val="000000" w:themeColor="text1"/>
          <w:sz w:val="24"/>
          <w:szCs w:val="24"/>
        </w:rPr>
        <w:t>NESHAP: National Emission Standards for Asbestos</w:t>
      </w:r>
      <w:r w:rsidR="00C70670">
        <w:rPr>
          <w:color w:val="000000" w:themeColor="text1"/>
          <w:sz w:val="24"/>
          <w:szCs w:val="24"/>
        </w:rPr>
        <w:t xml:space="preserve">: </w:t>
      </w:r>
      <w:r w:rsidR="00C70670" w:rsidRPr="00C70670">
        <w:rPr>
          <w:iCs/>
          <w:color w:val="000000" w:themeColor="text1"/>
          <w:sz w:val="24"/>
          <w:szCs w:val="24"/>
        </w:rPr>
        <w:t>The provisions of Subpart M are applicable to an active waste disposal site that receives asbestos-containing materials for final disposal from sources also applicable to Subpart M</w:t>
      </w:r>
      <w:r w:rsidR="00C70670">
        <w:rPr>
          <w:color w:val="000000" w:themeColor="text1"/>
          <w:sz w:val="24"/>
          <w:szCs w:val="24"/>
        </w:rPr>
        <w:t xml:space="preserve">.  As Canton Landfill has stated that it does not accept asbestos-containing waste, </w:t>
      </w:r>
      <w:r>
        <w:rPr>
          <w:color w:val="000000" w:themeColor="text1"/>
          <w:sz w:val="24"/>
          <w:szCs w:val="24"/>
        </w:rPr>
        <w:t xml:space="preserve">the facility </w:t>
      </w:r>
      <w:r>
        <w:rPr>
          <w:b/>
          <w:color w:val="000000" w:themeColor="text1"/>
          <w:sz w:val="24"/>
          <w:szCs w:val="24"/>
          <w:u w:val="single"/>
        </w:rPr>
        <w:t>is not</w:t>
      </w:r>
      <w:r>
        <w:rPr>
          <w:color w:val="000000" w:themeColor="text1"/>
          <w:sz w:val="24"/>
          <w:szCs w:val="24"/>
        </w:rPr>
        <w:t xml:space="preserve"> subject to the </w:t>
      </w:r>
      <w:r w:rsidR="00B3429E">
        <w:rPr>
          <w:color w:val="000000" w:themeColor="text1"/>
          <w:sz w:val="24"/>
          <w:szCs w:val="24"/>
        </w:rPr>
        <w:t>provisions</w:t>
      </w:r>
      <w:r>
        <w:rPr>
          <w:color w:val="000000" w:themeColor="text1"/>
          <w:sz w:val="24"/>
          <w:szCs w:val="24"/>
        </w:rPr>
        <w:t xml:space="preserve"> of Subpart M.</w:t>
      </w:r>
    </w:p>
    <w:p w14:paraId="0D2D1516" w14:textId="77777777" w:rsidR="00160F2D" w:rsidRPr="00C70670" w:rsidRDefault="00160F2D" w:rsidP="00B3429E">
      <w:pPr>
        <w:jc w:val="both"/>
        <w:rPr>
          <w:bCs/>
          <w:iCs/>
          <w:sz w:val="24"/>
          <w:szCs w:val="24"/>
        </w:rPr>
      </w:pPr>
    </w:p>
    <w:p w14:paraId="5F95DDC7" w14:textId="6CA1507D" w:rsidR="002478F3" w:rsidRDefault="002478F3" w:rsidP="00C70670">
      <w:pPr>
        <w:jc w:val="both"/>
        <w:rPr>
          <w:color w:val="000000" w:themeColor="text1"/>
          <w:sz w:val="24"/>
          <w:szCs w:val="24"/>
        </w:rPr>
      </w:pPr>
      <w:r>
        <w:rPr>
          <w:b/>
          <w:i/>
          <w:sz w:val="24"/>
          <w:szCs w:val="24"/>
        </w:rPr>
        <w:t xml:space="preserve">40 CFR </w:t>
      </w:r>
      <w:r w:rsidR="00C70670">
        <w:rPr>
          <w:b/>
          <w:i/>
          <w:sz w:val="24"/>
          <w:szCs w:val="24"/>
        </w:rPr>
        <w:t xml:space="preserve">Part </w:t>
      </w:r>
      <w:r>
        <w:rPr>
          <w:b/>
          <w:i/>
          <w:sz w:val="24"/>
          <w:szCs w:val="24"/>
        </w:rPr>
        <w:t>63</w:t>
      </w:r>
      <w:r w:rsidR="009D25D0">
        <w:rPr>
          <w:b/>
          <w:i/>
          <w:sz w:val="24"/>
          <w:szCs w:val="24"/>
        </w:rPr>
        <w:t>,</w:t>
      </w:r>
      <w:r>
        <w:rPr>
          <w:b/>
          <w:i/>
          <w:sz w:val="24"/>
          <w:szCs w:val="24"/>
        </w:rPr>
        <w:t xml:space="preserve"> Subpart AAAA – </w:t>
      </w:r>
      <w:r>
        <w:rPr>
          <w:b/>
          <w:bCs/>
          <w:i/>
          <w:color w:val="000000" w:themeColor="text1"/>
          <w:sz w:val="24"/>
          <w:szCs w:val="24"/>
        </w:rPr>
        <w:t>NESHAP for Municipal Solid Waste Landfills</w:t>
      </w:r>
      <w:r w:rsidR="00C70670">
        <w:rPr>
          <w:b/>
          <w:bCs/>
          <w:i/>
          <w:color w:val="000000" w:themeColor="text1"/>
          <w:sz w:val="24"/>
          <w:szCs w:val="24"/>
        </w:rPr>
        <w:t xml:space="preserve">: </w:t>
      </w:r>
      <w:r>
        <w:rPr>
          <w:color w:val="000000" w:themeColor="text1"/>
          <w:sz w:val="24"/>
          <w:szCs w:val="24"/>
        </w:rPr>
        <w:t>The provisions of Subpart AAAA are applicable to a</w:t>
      </w:r>
      <w:r w:rsidR="00C70670">
        <w:rPr>
          <w:color w:val="000000" w:themeColor="text1"/>
          <w:sz w:val="24"/>
          <w:szCs w:val="24"/>
        </w:rPr>
        <w:t>ny</w:t>
      </w:r>
      <w:r>
        <w:rPr>
          <w:color w:val="000000" w:themeColor="text1"/>
          <w:sz w:val="24"/>
          <w:szCs w:val="24"/>
        </w:rPr>
        <w:t xml:space="preserve"> municipal solid waste (MSW) landfill that has accepted waste since November 8, 1987, or has additional capacity for waste deposition and meets any one of the three </w:t>
      </w:r>
      <w:r w:rsidR="00147049">
        <w:rPr>
          <w:color w:val="000000" w:themeColor="text1"/>
          <w:sz w:val="24"/>
          <w:szCs w:val="24"/>
        </w:rPr>
        <w:t xml:space="preserve">following </w:t>
      </w:r>
      <w:r>
        <w:rPr>
          <w:color w:val="000000" w:themeColor="text1"/>
          <w:sz w:val="24"/>
          <w:szCs w:val="24"/>
        </w:rPr>
        <w:t>criteria:</w:t>
      </w:r>
    </w:p>
    <w:p w14:paraId="1369FD4D" w14:textId="618E9C20" w:rsidR="002478F3" w:rsidRDefault="002478F3" w:rsidP="00147049">
      <w:pPr>
        <w:numPr>
          <w:ilvl w:val="0"/>
          <w:numId w:val="9"/>
        </w:numPr>
        <w:spacing w:before="240" w:after="120"/>
        <w:ind w:left="360"/>
        <w:jc w:val="both"/>
        <w:rPr>
          <w:color w:val="000000" w:themeColor="text1"/>
          <w:sz w:val="24"/>
          <w:szCs w:val="24"/>
        </w:rPr>
      </w:pPr>
      <w:r>
        <w:rPr>
          <w:color w:val="000000" w:themeColor="text1"/>
          <w:sz w:val="24"/>
          <w:szCs w:val="24"/>
        </w:rPr>
        <w:t>The MSW landfill is a major source of HAP as defined in 40 CFR 63.2</w:t>
      </w:r>
      <w:r w:rsidR="00147049">
        <w:rPr>
          <w:color w:val="000000" w:themeColor="text1"/>
          <w:sz w:val="24"/>
          <w:szCs w:val="24"/>
        </w:rPr>
        <w:t>;</w:t>
      </w:r>
    </w:p>
    <w:p w14:paraId="64273CED" w14:textId="1ADAB22D" w:rsidR="002478F3" w:rsidRDefault="002478F3" w:rsidP="00147049">
      <w:pPr>
        <w:numPr>
          <w:ilvl w:val="0"/>
          <w:numId w:val="9"/>
        </w:numPr>
        <w:spacing w:before="120" w:after="120"/>
        <w:ind w:left="360"/>
        <w:jc w:val="both"/>
        <w:rPr>
          <w:color w:val="000000" w:themeColor="text1"/>
          <w:sz w:val="24"/>
          <w:szCs w:val="24"/>
        </w:rPr>
      </w:pPr>
      <w:r>
        <w:rPr>
          <w:color w:val="000000" w:themeColor="text1"/>
          <w:sz w:val="24"/>
          <w:szCs w:val="24"/>
        </w:rPr>
        <w:t>The MSW landfill is collocated with a major source as defined in 40 CFR 63.2</w:t>
      </w:r>
      <w:r w:rsidR="00147049">
        <w:rPr>
          <w:color w:val="000000" w:themeColor="text1"/>
          <w:sz w:val="24"/>
          <w:szCs w:val="24"/>
        </w:rPr>
        <w:t>; or</w:t>
      </w:r>
    </w:p>
    <w:p w14:paraId="505934A7" w14:textId="7F1CBAFF" w:rsidR="002478F3" w:rsidRDefault="002478F3" w:rsidP="00147049">
      <w:pPr>
        <w:numPr>
          <w:ilvl w:val="0"/>
          <w:numId w:val="9"/>
        </w:numPr>
        <w:spacing w:before="120" w:after="240"/>
        <w:ind w:left="360"/>
        <w:jc w:val="both"/>
        <w:rPr>
          <w:color w:val="000000" w:themeColor="text1"/>
          <w:sz w:val="24"/>
          <w:szCs w:val="24"/>
        </w:rPr>
      </w:pPr>
      <w:r>
        <w:rPr>
          <w:color w:val="000000" w:themeColor="text1"/>
          <w:sz w:val="24"/>
          <w:szCs w:val="24"/>
        </w:rPr>
        <w:lastRenderedPageBreak/>
        <w:t xml:space="preserve">The MSW landfill is an area source that has a design capacity equal to or greater than 2.5 Mg and 2.5 million cubic meters </w:t>
      </w:r>
      <w:r w:rsidRPr="00147049">
        <w:rPr>
          <w:b/>
          <w:bCs/>
          <w:color w:val="000000" w:themeColor="text1"/>
          <w:sz w:val="24"/>
          <w:szCs w:val="24"/>
          <w:u w:val="single"/>
        </w:rPr>
        <w:t>and</w:t>
      </w:r>
      <w:r>
        <w:rPr>
          <w:color w:val="000000" w:themeColor="text1"/>
          <w:sz w:val="24"/>
          <w:szCs w:val="24"/>
        </w:rPr>
        <w:t xml:space="preserve"> has estimated uncontrolled emissions equal to or greater than 50 </w:t>
      </w:r>
      <w:r w:rsidR="00147049">
        <w:rPr>
          <w:color w:val="000000" w:themeColor="text1"/>
          <w:sz w:val="24"/>
          <w:szCs w:val="24"/>
        </w:rPr>
        <w:t>megagrams of NMOCS per year.</w:t>
      </w:r>
    </w:p>
    <w:p w14:paraId="16B77905" w14:textId="77777777" w:rsidR="00147049" w:rsidRDefault="00147049" w:rsidP="003624CD">
      <w:pPr>
        <w:jc w:val="both"/>
        <w:rPr>
          <w:color w:val="000000" w:themeColor="text1"/>
          <w:sz w:val="24"/>
          <w:szCs w:val="24"/>
        </w:rPr>
      </w:pPr>
      <w:r>
        <w:rPr>
          <w:color w:val="000000" w:themeColor="text1"/>
          <w:sz w:val="24"/>
          <w:szCs w:val="24"/>
        </w:rPr>
        <w:t xml:space="preserve">Given that Canton Landfill does not have the capability to meet any of the referenced criteria (either in its current operations or after the enactment of the proposed lateral expansion), </w:t>
      </w:r>
      <w:r w:rsidR="008D05E2">
        <w:rPr>
          <w:color w:val="000000" w:themeColor="text1"/>
          <w:sz w:val="24"/>
          <w:szCs w:val="24"/>
        </w:rPr>
        <w:t>the facility</w:t>
      </w:r>
      <w:r w:rsidR="002478F3">
        <w:rPr>
          <w:color w:val="000000" w:themeColor="text1"/>
          <w:sz w:val="24"/>
          <w:szCs w:val="24"/>
        </w:rPr>
        <w:t xml:space="preserve"> </w:t>
      </w:r>
      <w:r w:rsidR="002478F3">
        <w:rPr>
          <w:b/>
          <w:color w:val="000000" w:themeColor="text1"/>
          <w:sz w:val="24"/>
          <w:szCs w:val="24"/>
          <w:u w:val="single"/>
        </w:rPr>
        <w:t>is</w:t>
      </w:r>
      <w:r w:rsidR="008D05E2">
        <w:rPr>
          <w:b/>
          <w:color w:val="000000" w:themeColor="text1"/>
          <w:sz w:val="24"/>
          <w:szCs w:val="24"/>
          <w:u w:val="single"/>
        </w:rPr>
        <w:t xml:space="preserve"> not</w:t>
      </w:r>
      <w:r w:rsidR="002478F3">
        <w:rPr>
          <w:color w:val="000000" w:themeColor="text1"/>
          <w:sz w:val="24"/>
          <w:szCs w:val="24"/>
        </w:rPr>
        <w:t xml:space="preserve"> subject to </w:t>
      </w:r>
      <w:r w:rsidR="008D05E2">
        <w:rPr>
          <w:color w:val="000000" w:themeColor="text1"/>
          <w:sz w:val="24"/>
          <w:szCs w:val="24"/>
        </w:rPr>
        <w:t xml:space="preserve">the provisions of </w:t>
      </w:r>
      <w:r w:rsidR="002478F3">
        <w:rPr>
          <w:color w:val="000000" w:themeColor="text1"/>
          <w:sz w:val="24"/>
          <w:szCs w:val="24"/>
        </w:rPr>
        <w:t xml:space="preserve">Subpart AAAA. </w:t>
      </w:r>
      <w:r>
        <w:rPr>
          <w:color w:val="000000" w:themeColor="text1"/>
          <w:sz w:val="24"/>
          <w:szCs w:val="24"/>
        </w:rPr>
        <w:t xml:space="preserve"> </w:t>
      </w:r>
    </w:p>
    <w:p w14:paraId="00083011" w14:textId="77777777" w:rsidR="00147049" w:rsidRDefault="00147049" w:rsidP="003624CD">
      <w:pPr>
        <w:jc w:val="both"/>
        <w:rPr>
          <w:color w:val="000000" w:themeColor="text1"/>
          <w:sz w:val="24"/>
          <w:szCs w:val="24"/>
        </w:rPr>
      </w:pPr>
    </w:p>
    <w:p w14:paraId="5017B7AE" w14:textId="77777777" w:rsidR="00FC4671" w:rsidRDefault="00147049" w:rsidP="003624CD">
      <w:pPr>
        <w:jc w:val="both"/>
        <w:rPr>
          <w:bCs/>
          <w:color w:val="000000" w:themeColor="text1"/>
          <w:sz w:val="24"/>
          <w:szCs w:val="24"/>
        </w:rPr>
      </w:pPr>
      <w:r>
        <w:rPr>
          <w:color w:val="000000" w:themeColor="text1"/>
          <w:sz w:val="24"/>
          <w:szCs w:val="24"/>
        </w:rPr>
        <w:t xml:space="preserve">However, as 40 CFR Part 60 – Subpart XXX [specifically 40 CFR 60.762(b)(iv)] allows Canton Landfill </w:t>
      </w:r>
      <w:r w:rsidR="00824A76">
        <w:rPr>
          <w:color w:val="000000" w:themeColor="text1"/>
          <w:sz w:val="24"/>
          <w:szCs w:val="24"/>
        </w:rPr>
        <w:t xml:space="preserve">to comply with specific </w:t>
      </w:r>
      <w:r>
        <w:rPr>
          <w:color w:val="000000" w:themeColor="text1"/>
          <w:sz w:val="24"/>
          <w:szCs w:val="24"/>
        </w:rPr>
        <w:t xml:space="preserve">provisions </w:t>
      </w:r>
      <w:r w:rsidR="00824A76">
        <w:rPr>
          <w:color w:val="000000" w:themeColor="text1"/>
          <w:sz w:val="24"/>
          <w:szCs w:val="24"/>
        </w:rPr>
        <w:t>found in</w:t>
      </w:r>
      <w:r>
        <w:rPr>
          <w:color w:val="000000" w:themeColor="text1"/>
          <w:sz w:val="24"/>
          <w:szCs w:val="24"/>
        </w:rPr>
        <w:t xml:space="preserve"> Subpart AAAA </w:t>
      </w:r>
      <w:r w:rsidR="00FC4671">
        <w:rPr>
          <w:color w:val="000000" w:themeColor="text1"/>
          <w:sz w:val="24"/>
          <w:szCs w:val="24"/>
        </w:rPr>
        <w:t>(</w:t>
      </w:r>
      <w:r w:rsidR="00FC4671" w:rsidRPr="00FC4671">
        <w:rPr>
          <w:bCs/>
          <w:color w:val="000000" w:themeColor="text1"/>
          <w:sz w:val="24"/>
          <w:szCs w:val="24"/>
        </w:rPr>
        <w:t>40 CFR 63.1958, 63.1960, and 63.1961</w:t>
      </w:r>
      <w:r w:rsidR="00FC4671">
        <w:rPr>
          <w:bCs/>
          <w:color w:val="000000" w:themeColor="text1"/>
          <w:sz w:val="24"/>
          <w:szCs w:val="24"/>
        </w:rPr>
        <w:t xml:space="preserve">) </w:t>
      </w:r>
      <w:r>
        <w:rPr>
          <w:color w:val="000000" w:themeColor="text1"/>
          <w:sz w:val="24"/>
          <w:szCs w:val="24"/>
        </w:rPr>
        <w:t>in lieu of Subpart XXX</w:t>
      </w:r>
      <w:r w:rsidR="00FC4671">
        <w:rPr>
          <w:color w:val="000000" w:themeColor="text1"/>
          <w:sz w:val="24"/>
          <w:szCs w:val="24"/>
        </w:rPr>
        <w:t xml:space="preserve"> (</w:t>
      </w:r>
      <w:r w:rsidR="00FC4671" w:rsidRPr="00FC4671">
        <w:rPr>
          <w:bCs/>
          <w:color w:val="000000" w:themeColor="text1"/>
          <w:sz w:val="24"/>
          <w:szCs w:val="24"/>
        </w:rPr>
        <w:t>40 CFR 60.763, 60.765, and 60.766</w:t>
      </w:r>
      <w:r w:rsidR="00FC4671">
        <w:rPr>
          <w:bCs/>
          <w:color w:val="000000" w:themeColor="text1"/>
          <w:sz w:val="24"/>
          <w:szCs w:val="24"/>
        </w:rPr>
        <w:t>)</w:t>
      </w:r>
      <w:r>
        <w:rPr>
          <w:color w:val="000000" w:themeColor="text1"/>
          <w:sz w:val="24"/>
          <w:szCs w:val="24"/>
        </w:rPr>
        <w:t xml:space="preserve">, </w:t>
      </w:r>
      <w:r w:rsidR="00824A76">
        <w:rPr>
          <w:color w:val="000000" w:themeColor="text1"/>
          <w:sz w:val="24"/>
          <w:szCs w:val="24"/>
        </w:rPr>
        <w:t xml:space="preserve">the facility may opt to become subject to Subpart AAAA once it is required to commence operation of a GCCS </w:t>
      </w:r>
      <w:r w:rsidR="00FC4671">
        <w:rPr>
          <w:color w:val="000000" w:themeColor="text1"/>
          <w:sz w:val="24"/>
          <w:szCs w:val="24"/>
        </w:rPr>
        <w:t xml:space="preserve">pursuant to </w:t>
      </w:r>
      <w:r w:rsidR="00824A76">
        <w:rPr>
          <w:color w:val="000000" w:themeColor="text1"/>
          <w:sz w:val="24"/>
          <w:szCs w:val="24"/>
        </w:rPr>
        <w:t xml:space="preserve">Subpart XXX. </w:t>
      </w:r>
      <w:r w:rsidR="00824A76" w:rsidRPr="00FC4671">
        <w:rPr>
          <w:color w:val="000000" w:themeColor="text1"/>
          <w:sz w:val="24"/>
          <w:szCs w:val="24"/>
        </w:rPr>
        <w:t xml:space="preserve"> If </w:t>
      </w:r>
      <w:r w:rsidR="00FC4671" w:rsidRPr="00FC4671">
        <w:rPr>
          <w:color w:val="000000" w:themeColor="text1"/>
          <w:sz w:val="24"/>
          <w:szCs w:val="24"/>
        </w:rPr>
        <w:t>Canton Landfill chooses</w:t>
      </w:r>
      <w:r w:rsidR="00824A76" w:rsidRPr="00FC4671">
        <w:rPr>
          <w:color w:val="000000" w:themeColor="text1"/>
          <w:sz w:val="24"/>
          <w:szCs w:val="24"/>
        </w:rPr>
        <w:t xml:space="preserve"> to comply with Subpart AAAA, </w:t>
      </w:r>
      <w:r w:rsidR="00FC4671" w:rsidRPr="00FC4671">
        <w:rPr>
          <w:bCs/>
          <w:color w:val="000000" w:themeColor="text1"/>
          <w:sz w:val="24"/>
          <w:szCs w:val="24"/>
        </w:rPr>
        <w:t xml:space="preserve">the </w:t>
      </w:r>
      <w:r w:rsidR="00FC4671" w:rsidRPr="00FC4671">
        <w:rPr>
          <w:bCs/>
          <w:color w:val="000000" w:themeColor="text1"/>
          <w:sz w:val="24"/>
          <w:szCs w:val="24"/>
        </w:rPr>
        <w:t xml:space="preserve">facility </w:t>
      </w:r>
      <w:r w:rsidR="00FC4671" w:rsidRPr="00FC4671">
        <w:rPr>
          <w:bCs/>
          <w:color w:val="000000" w:themeColor="text1"/>
          <w:sz w:val="24"/>
          <w:szCs w:val="24"/>
        </w:rPr>
        <w:t>must continue operating the GCCS in accordance with Subpart AAAA and cannot return to the provisions of Subpart XXX</w:t>
      </w:r>
      <w:r w:rsidR="00FC4671">
        <w:rPr>
          <w:bCs/>
          <w:color w:val="000000" w:themeColor="text1"/>
          <w:sz w:val="24"/>
          <w:szCs w:val="24"/>
        </w:rPr>
        <w:t xml:space="preserve">.  </w:t>
      </w:r>
    </w:p>
    <w:p w14:paraId="17AF16A8" w14:textId="77777777" w:rsidR="00FC4671" w:rsidRDefault="00FC4671" w:rsidP="003624CD">
      <w:pPr>
        <w:jc w:val="both"/>
        <w:rPr>
          <w:bCs/>
          <w:color w:val="000000" w:themeColor="text1"/>
          <w:sz w:val="24"/>
          <w:szCs w:val="24"/>
        </w:rPr>
      </w:pPr>
    </w:p>
    <w:p w14:paraId="0FF5EFE4" w14:textId="17E45FE2" w:rsidR="002478F3" w:rsidRPr="00FC4671" w:rsidRDefault="00FC4671" w:rsidP="003624CD">
      <w:pPr>
        <w:jc w:val="both"/>
        <w:rPr>
          <w:bCs/>
          <w:color w:val="000000" w:themeColor="text1"/>
          <w:sz w:val="24"/>
          <w:szCs w:val="24"/>
        </w:rPr>
      </w:pPr>
      <w:r>
        <w:rPr>
          <w:bCs/>
          <w:color w:val="000000" w:themeColor="text1"/>
          <w:sz w:val="24"/>
          <w:szCs w:val="24"/>
        </w:rPr>
        <w:t xml:space="preserve">Should Canton Landfill choose to comply with Subpart AAAA in lieu of Subpart XXX), MDEQ only considers the facility subject to Subpart AAAA provisions explicitly cited in Subpart XXX </w:t>
      </w:r>
      <w:r w:rsidR="00284CE9">
        <w:rPr>
          <w:bCs/>
          <w:color w:val="000000" w:themeColor="text1"/>
          <w:sz w:val="24"/>
          <w:szCs w:val="24"/>
        </w:rPr>
        <w:t>(</w:t>
      </w:r>
      <w:r>
        <w:rPr>
          <w:bCs/>
          <w:color w:val="000000" w:themeColor="text1"/>
          <w:sz w:val="24"/>
          <w:szCs w:val="24"/>
        </w:rPr>
        <w:t>for applicability purposes</w:t>
      </w:r>
      <w:r w:rsidR="00284CE9">
        <w:rPr>
          <w:bCs/>
          <w:color w:val="000000" w:themeColor="text1"/>
          <w:sz w:val="24"/>
          <w:szCs w:val="24"/>
        </w:rPr>
        <w:t>)</w:t>
      </w:r>
      <w:r>
        <w:rPr>
          <w:bCs/>
          <w:color w:val="000000" w:themeColor="text1"/>
          <w:sz w:val="24"/>
          <w:szCs w:val="24"/>
        </w:rPr>
        <w:t>.</w:t>
      </w:r>
    </w:p>
    <w:p w14:paraId="4884D7AA" w14:textId="77777777" w:rsidR="00AE4F70" w:rsidRDefault="00AE4F70" w:rsidP="00104CE2">
      <w:pPr>
        <w:jc w:val="both"/>
        <w:rPr>
          <w:sz w:val="24"/>
          <w:szCs w:val="24"/>
        </w:rPr>
      </w:pPr>
    </w:p>
    <w:p w14:paraId="2B525FC3" w14:textId="77777777" w:rsidR="00AE4F70" w:rsidRDefault="00AE4F70" w:rsidP="00104CE2">
      <w:pPr>
        <w:jc w:val="both"/>
        <w:rPr>
          <w:sz w:val="24"/>
          <w:szCs w:val="24"/>
          <w:u w:val="single"/>
        </w:rPr>
      </w:pPr>
      <w:r>
        <w:rPr>
          <w:sz w:val="24"/>
          <w:szCs w:val="24"/>
          <w:u w:val="single"/>
        </w:rPr>
        <w:t>NEW SOURCE PERFORMANCE STANDARDS (NSPS) APPLICABILITY</w:t>
      </w:r>
    </w:p>
    <w:p w14:paraId="53ADA401" w14:textId="77777777" w:rsidR="00284CE9" w:rsidRPr="00284CE9" w:rsidRDefault="0009297B" w:rsidP="00284CE9">
      <w:pPr>
        <w:keepNext/>
        <w:spacing w:before="120" w:after="240"/>
        <w:jc w:val="both"/>
        <w:rPr>
          <w:bCs/>
          <w:iCs/>
          <w:sz w:val="24"/>
          <w:szCs w:val="24"/>
        </w:rPr>
      </w:pPr>
      <w:r w:rsidRPr="00FA1459">
        <w:rPr>
          <w:b/>
          <w:i/>
          <w:sz w:val="24"/>
          <w:szCs w:val="24"/>
        </w:rPr>
        <w:t xml:space="preserve">40 CFR </w:t>
      </w:r>
      <w:r w:rsidR="00FC4671">
        <w:rPr>
          <w:b/>
          <w:i/>
          <w:sz w:val="24"/>
          <w:szCs w:val="24"/>
        </w:rPr>
        <w:t xml:space="preserve">Part </w:t>
      </w:r>
      <w:r w:rsidRPr="00FA1459">
        <w:rPr>
          <w:b/>
          <w:i/>
          <w:sz w:val="24"/>
          <w:szCs w:val="24"/>
        </w:rPr>
        <w:t>60</w:t>
      </w:r>
      <w:r w:rsidR="00CA3438">
        <w:rPr>
          <w:b/>
          <w:i/>
          <w:sz w:val="24"/>
          <w:szCs w:val="24"/>
        </w:rPr>
        <w:t>,</w:t>
      </w:r>
      <w:r w:rsidRPr="00FA1459">
        <w:rPr>
          <w:b/>
          <w:i/>
          <w:sz w:val="24"/>
          <w:szCs w:val="24"/>
        </w:rPr>
        <w:t xml:space="preserve"> Subpart Cf – Emission Guidelines for Municipal Solid Waste Landfills</w:t>
      </w:r>
      <w:r w:rsidR="00FC4671">
        <w:rPr>
          <w:b/>
          <w:i/>
          <w:sz w:val="24"/>
          <w:szCs w:val="24"/>
        </w:rPr>
        <w:t xml:space="preserve">: </w:t>
      </w:r>
      <w:r w:rsidR="00284CE9" w:rsidRPr="00284CE9">
        <w:rPr>
          <w:bCs/>
          <w:iCs/>
          <w:sz w:val="24"/>
          <w:szCs w:val="24"/>
        </w:rPr>
        <w:t>The provisions of Subpart Cf apply to any MSW landfill that commenced construction, modification, or reconstruction on or before July 17, 2014.</w:t>
      </w:r>
      <w:r w:rsidR="00284CE9" w:rsidRPr="00284CE9">
        <w:rPr>
          <w:bCs/>
          <w:i/>
          <w:sz w:val="24"/>
          <w:szCs w:val="24"/>
        </w:rPr>
        <w:t xml:space="preserve">  However, a</w:t>
      </w:r>
      <w:r w:rsidR="00284CE9" w:rsidRPr="00284CE9">
        <w:rPr>
          <w:bCs/>
          <w:iCs/>
          <w:sz w:val="24"/>
          <w:szCs w:val="24"/>
        </w:rPr>
        <w:t xml:space="preserve">s an “emissions guideline”, a facility only becomes subject to Subpart Cf once the applicable environmental permit regulatory authority receives delegated authority through EPA’s approval of a State Plan completed in accordance with 40 CFR Part 60, Subpart Ba (Adoption and Submittal of State Plans for Designated Facilities).  </w:t>
      </w:r>
    </w:p>
    <w:p w14:paraId="71005F50" w14:textId="436CFDC6" w:rsidR="00F81CC8" w:rsidRPr="00284CE9" w:rsidRDefault="00284CE9" w:rsidP="00284CE9">
      <w:pPr>
        <w:jc w:val="both"/>
        <w:rPr>
          <w:sz w:val="24"/>
          <w:szCs w:val="24"/>
        </w:rPr>
      </w:pPr>
      <w:r w:rsidRPr="00284CE9">
        <w:rPr>
          <w:sz w:val="24"/>
          <w:szCs w:val="24"/>
        </w:rPr>
        <w:t xml:space="preserve">While MDEQ has not received delegated authority of Subpart Cf, </w:t>
      </w:r>
      <w:r>
        <w:rPr>
          <w:sz w:val="24"/>
          <w:szCs w:val="24"/>
        </w:rPr>
        <w:t>it is MDEQ’s understanding that Canton Landfill will commence</w:t>
      </w:r>
      <w:r w:rsidRPr="00284CE9">
        <w:rPr>
          <w:sz w:val="24"/>
          <w:szCs w:val="24"/>
        </w:rPr>
        <w:t xml:space="preserve"> construction of the proposed expansion upon issuance of </w:t>
      </w:r>
      <w:r>
        <w:rPr>
          <w:sz w:val="24"/>
          <w:szCs w:val="24"/>
        </w:rPr>
        <w:t xml:space="preserve">the </w:t>
      </w:r>
      <w:r w:rsidRPr="00284CE9">
        <w:rPr>
          <w:sz w:val="24"/>
          <w:szCs w:val="24"/>
        </w:rPr>
        <w:t>renewed TVOP (</w:t>
      </w:r>
      <w:r>
        <w:rPr>
          <w:sz w:val="24"/>
          <w:szCs w:val="24"/>
        </w:rPr>
        <w:t>in tandem with the modified Solid Waste Management Permit</w:t>
      </w:r>
      <w:r w:rsidRPr="00284CE9">
        <w:rPr>
          <w:sz w:val="24"/>
          <w:szCs w:val="24"/>
        </w:rPr>
        <w:t xml:space="preserve">).  As construction of the denoted expansion will be considered a “modification” (as defined by 40 CFR Part 60, Subpart XXX), </w:t>
      </w:r>
      <w:r>
        <w:rPr>
          <w:sz w:val="24"/>
          <w:szCs w:val="24"/>
        </w:rPr>
        <w:t>Canton Landfill</w:t>
      </w:r>
      <w:r w:rsidRPr="00284CE9">
        <w:rPr>
          <w:sz w:val="24"/>
          <w:szCs w:val="24"/>
        </w:rPr>
        <w:t xml:space="preserve"> </w:t>
      </w:r>
      <w:r w:rsidRPr="00284CE9">
        <w:rPr>
          <w:b/>
          <w:bCs/>
          <w:sz w:val="24"/>
          <w:szCs w:val="24"/>
          <w:u w:val="single"/>
        </w:rPr>
        <w:t>will not</w:t>
      </w:r>
      <w:r w:rsidRPr="00284CE9">
        <w:rPr>
          <w:sz w:val="24"/>
          <w:szCs w:val="24"/>
        </w:rPr>
        <w:t xml:space="preserve"> be subject to Subpart Cf.</w:t>
      </w:r>
    </w:p>
    <w:p w14:paraId="69DCD5F9" w14:textId="77777777" w:rsidR="00284CE9" w:rsidRDefault="00B3429E" w:rsidP="00284CE9">
      <w:pPr>
        <w:tabs>
          <w:tab w:val="left" w:pos="1392"/>
        </w:tabs>
        <w:spacing w:before="240" w:after="120"/>
        <w:jc w:val="both"/>
        <w:rPr>
          <w:color w:val="000000" w:themeColor="text1"/>
          <w:sz w:val="24"/>
          <w:szCs w:val="24"/>
        </w:rPr>
      </w:pPr>
      <w:r>
        <w:rPr>
          <w:b/>
          <w:i/>
          <w:sz w:val="24"/>
          <w:szCs w:val="24"/>
        </w:rPr>
        <w:t xml:space="preserve">40 CFR </w:t>
      </w:r>
      <w:r w:rsidR="00284CE9">
        <w:rPr>
          <w:b/>
          <w:i/>
          <w:sz w:val="24"/>
          <w:szCs w:val="24"/>
        </w:rPr>
        <w:t xml:space="preserve">Part </w:t>
      </w:r>
      <w:r>
        <w:rPr>
          <w:b/>
          <w:i/>
          <w:sz w:val="24"/>
          <w:szCs w:val="24"/>
        </w:rPr>
        <w:t xml:space="preserve">60, Subpart XXX – </w:t>
      </w:r>
      <w:r>
        <w:rPr>
          <w:b/>
          <w:bCs/>
          <w:i/>
          <w:color w:val="000000" w:themeColor="text1"/>
          <w:sz w:val="24"/>
          <w:szCs w:val="24"/>
        </w:rPr>
        <w:t>Standards of Performance for Municipal Solid Waste Landfills that Commenced Construction, Reconstruction, or Modification After July 17, 2014</w:t>
      </w:r>
      <w:r w:rsidR="00284CE9">
        <w:rPr>
          <w:color w:val="000000" w:themeColor="text1"/>
          <w:sz w:val="24"/>
          <w:szCs w:val="24"/>
        </w:rPr>
        <w:t xml:space="preserve">: </w:t>
      </w:r>
      <w:r>
        <w:rPr>
          <w:color w:val="000000" w:themeColor="text1"/>
          <w:sz w:val="24"/>
          <w:szCs w:val="24"/>
        </w:rPr>
        <w:t xml:space="preserve">The provisions of Subpart XXX are applicable to </w:t>
      </w:r>
      <w:r w:rsidR="00284CE9">
        <w:rPr>
          <w:color w:val="000000" w:themeColor="text1"/>
          <w:sz w:val="24"/>
          <w:szCs w:val="24"/>
        </w:rPr>
        <w:t xml:space="preserve">any </w:t>
      </w:r>
      <w:r>
        <w:rPr>
          <w:color w:val="000000" w:themeColor="text1"/>
          <w:sz w:val="24"/>
          <w:szCs w:val="24"/>
        </w:rPr>
        <w:t>solid waste landfill that commence</w:t>
      </w:r>
      <w:r w:rsidR="00284CE9">
        <w:rPr>
          <w:color w:val="000000" w:themeColor="text1"/>
          <w:sz w:val="24"/>
          <w:szCs w:val="24"/>
        </w:rPr>
        <w:t>s</w:t>
      </w:r>
      <w:r>
        <w:rPr>
          <w:color w:val="000000" w:themeColor="text1"/>
          <w:sz w:val="24"/>
          <w:szCs w:val="24"/>
        </w:rPr>
        <w:t xml:space="preserve"> construction, reconstruction, or modification after July 17, 2014. </w:t>
      </w:r>
      <w:r w:rsidR="00284CE9">
        <w:rPr>
          <w:color w:val="000000" w:themeColor="text1"/>
          <w:sz w:val="24"/>
          <w:szCs w:val="24"/>
        </w:rPr>
        <w:t xml:space="preserve"> While </w:t>
      </w:r>
      <w:r w:rsidR="00E15DF9">
        <w:rPr>
          <w:color w:val="000000" w:themeColor="text1"/>
          <w:sz w:val="24"/>
          <w:szCs w:val="24"/>
        </w:rPr>
        <w:t>Canton Landfill</w:t>
      </w:r>
      <w:r>
        <w:rPr>
          <w:color w:val="000000" w:themeColor="text1"/>
          <w:sz w:val="24"/>
          <w:szCs w:val="24"/>
        </w:rPr>
        <w:t xml:space="preserve"> was constructed prior to the </w:t>
      </w:r>
      <w:r w:rsidR="00284CE9">
        <w:rPr>
          <w:color w:val="000000" w:themeColor="text1"/>
          <w:sz w:val="24"/>
          <w:szCs w:val="24"/>
        </w:rPr>
        <w:t xml:space="preserve">denoted “effective date” of </w:t>
      </w:r>
      <w:r w:rsidR="00E15DF9">
        <w:rPr>
          <w:color w:val="000000" w:themeColor="text1"/>
          <w:sz w:val="24"/>
          <w:szCs w:val="24"/>
        </w:rPr>
        <w:t xml:space="preserve">Subpart </w:t>
      </w:r>
      <w:r>
        <w:rPr>
          <w:color w:val="000000" w:themeColor="text1"/>
          <w:sz w:val="24"/>
          <w:szCs w:val="24"/>
        </w:rPr>
        <w:t xml:space="preserve">XXX </w:t>
      </w:r>
      <w:r w:rsidR="00E15DF9">
        <w:rPr>
          <w:color w:val="000000" w:themeColor="text1"/>
          <w:sz w:val="24"/>
          <w:szCs w:val="24"/>
        </w:rPr>
        <w:t>t</w:t>
      </w:r>
      <w:r>
        <w:rPr>
          <w:color w:val="000000" w:themeColor="text1"/>
          <w:sz w:val="24"/>
          <w:szCs w:val="24"/>
        </w:rPr>
        <w:t xml:space="preserve">he proposed lateral expansion will trigger </w:t>
      </w:r>
      <w:r w:rsidR="00284CE9">
        <w:rPr>
          <w:color w:val="000000" w:themeColor="text1"/>
          <w:sz w:val="24"/>
          <w:szCs w:val="24"/>
        </w:rPr>
        <w:t xml:space="preserve">the facility’s </w:t>
      </w:r>
      <w:r>
        <w:rPr>
          <w:color w:val="000000" w:themeColor="text1"/>
          <w:sz w:val="24"/>
          <w:szCs w:val="24"/>
        </w:rPr>
        <w:t xml:space="preserve">applicability </w:t>
      </w:r>
      <w:r w:rsidR="00284CE9">
        <w:rPr>
          <w:color w:val="000000" w:themeColor="text1"/>
          <w:sz w:val="24"/>
          <w:szCs w:val="24"/>
        </w:rPr>
        <w:t>to</w:t>
      </w:r>
      <w:r>
        <w:rPr>
          <w:color w:val="000000" w:themeColor="text1"/>
          <w:sz w:val="24"/>
          <w:szCs w:val="24"/>
        </w:rPr>
        <w:t xml:space="preserve"> Subpart XXX because it will meet the definition of a </w:t>
      </w:r>
      <w:r w:rsidR="00284CE9">
        <w:rPr>
          <w:color w:val="000000" w:themeColor="text1"/>
          <w:sz w:val="24"/>
          <w:szCs w:val="24"/>
        </w:rPr>
        <w:t>“</w:t>
      </w:r>
      <w:r>
        <w:rPr>
          <w:color w:val="000000" w:themeColor="text1"/>
          <w:sz w:val="24"/>
          <w:szCs w:val="24"/>
        </w:rPr>
        <w:t>modification</w:t>
      </w:r>
      <w:r w:rsidR="00284CE9">
        <w:rPr>
          <w:color w:val="000000" w:themeColor="text1"/>
          <w:sz w:val="24"/>
          <w:szCs w:val="24"/>
        </w:rPr>
        <w:t>”</w:t>
      </w:r>
      <w:r>
        <w:rPr>
          <w:color w:val="000000" w:themeColor="text1"/>
          <w:sz w:val="24"/>
          <w:szCs w:val="24"/>
        </w:rPr>
        <w:t>.</w:t>
      </w:r>
      <w:r w:rsidR="00284CE9">
        <w:rPr>
          <w:color w:val="000000" w:themeColor="text1"/>
          <w:sz w:val="24"/>
          <w:szCs w:val="24"/>
        </w:rPr>
        <w:t xml:space="preserve">  </w:t>
      </w:r>
    </w:p>
    <w:p w14:paraId="32050A00" w14:textId="740CDB68" w:rsidR="00284CE9" w:rsidRDefault="00284CE9" w:rsidP="00284CE9">
      <w:pPr>
        <w:tabs>
          <w:tab w:val="left" w:pos="1392"/>
        </w:tabs>
        <w:spacing w:before="240" w:after="120"/>
        <w:jc w:val="both"/>
        <w:rPr>
          <w:color w:val="000000" w:themeColor="text1"/>
          <w:sz w:val="24"/>
          <w:szCs w:val="24"/>
        </w:rPr>
      </w:pPr>
      <w:r>
        <w:rPr>
          <w:color w:val="000000" w:themeColor="text1"/>
          <w:sz w:val="24"/>
          <w:szCs w:val="24"/>
        </w:rPr>
        <w:t>Pursuant to Subpart XXX, a modification</w:t>
      </w:r>
      <w:r w:rsidR="00B3429E">
        <w:rPr>
          <w:color w:val="000000" w:themeColor="text1"/>
          <w:sz w:val="24"/>
          <w:szCs w:val="24"/>
        </w:rPr>
        <w:t xml:space="preserve"> is defined as </w:t>
      </w:r>
      <w:r>
        <w:rPr>
          <w:color w:val="000000" w:themeColor="text1"/>
          <w:sz w:val="24"/>
          <w:szCs w:val="24"/>
        </w:rPr>
        <w:t xml:space="preserve">the following: </w:t>
      </w:r>
      <w:r w:rsidR="00B3429E">
        <w:rPr>
          <w:color w:val="000000" w:themeColor="text1"/>
          <w:sz w:val="24"/>
          <w:szCs w:val="24"/>
        </w:rPr>
        <w:t>“a</w:t>
      </w:r>
      <w:r w:rsidR="00B3429E" w:rsidRPr="00284CE9">
        <w:rPr>
          <w:i/>
          <w:iCs/>
          <w:color w:val="000000" w:themeColor="text1"/>
          <w:sz w:val="24"/>
          <w:szCs w:val="24"/>
        </w:rPr>
        <w:t>n increase in the permitted volume design capacity of the landfill by either lateral or vertical expansion based on its permitted design capacity as of July 17, 2014</w:t>
      </w:r>
      <w:r w:rsidR="00B3429E">
        <w:rPr>
          <w:color w:val="000000" w:themeColor="text1"/>
          <w:sz w:val="24"/>
          <w:szCs w:val="24"/>
        </w:rPr>
        <w:t>.</w:t>
      </w:r>
      <w:r>
        <w:rPr>
          <w:color w:val="000000" w:themeColor="text1"/>
          <w:sz w:val="24"/>
          <w:szCs w:val="24"/>
        </w:rPr>
        <w:t xml:space="preserve">  </w:t>
      </w:r>
      <w:r w:rsidR="00B3429E" w:rsidRPr="00284CE9">
        <w:rPr>
          <w:i/>
          <w:iCs/>
          <w:color w:val="000000" w:themeColor="text1"/>
          <w:sz w:val="24"/>
          <w:szCs w:val="24"/>
        </w:rPr>
        <w:t xml:space="preserve">Modification does not occur until the </w:t>
      </w:r>
      <w:proofErr w:type="gramStart"/>
      <w:r w:rsidR="00B3429E" w:rsidRPr="00284CE9">
        <w:rPr>
          <w:i/>
          <w:iCs/>
          <w:color w:val="000000" w:themeColor="text1"/>
          <w:sz w:val="24"/>
          <w:szCs w:val="24"/>
        </w:rPr>
        <w:t>owner</w:t>
      </w:r>
      <w:proofErr w:type="gramEnd"/>
      <w:r w:rsidR="00B3429E" w:rsidRPr="00284CE9">
        <w:rPr>
          <w:i/>
          <w:iCs/>
          <w:color w:val="000000" w:themeColor="text1"/>
          <w:sz w:val="24"/>
          <w:szCs w:val="24"/>
        </w:rPr>
        <w:t xml:space="preserve"> or operator commences construction on the lateral or vertical expansion.</w:t>
      </w:r>
      <w:r w:rsidR="00B3429E">
        <w:rPr>
          <w:color w:val="000000" w:themeColor="text1"/>
          <w:sz w:val="24"/>
          <w:szCs w:val="24"/>
        </w:rPr>
        <w:t xml:space="preserve">” </w:t>
      </w:r>
    </w:p>
    <w:p w14:paraId="58E88D19" w14:textId="76D603C5" w:rsidR="00E15DF9" w:rsidRPr="006F0510" w:rsidRDefault="00A577E9" w:rsidP="00284CE9">
      <w:pPr>
        <w:tabs>
          <w:tab w:val="left" w:pos="1392"/>
        </w:tabs>
        <w:spacing w:before="240" w:after="120"/>
        <w:jc w:val="both"/>
        <w:rPr>
          <w:color w:val="4F81BD" w:themeColor="accent1"/>
          <w:sz w:val="24"/>
          <w:szCs w:val="24"/>
        </w:rPr>
      </w:pPr>
      <w:r>
        <w:rPr>
          <w:color w:val="000000" w:themeColor="text1"/>
          <w:sz w:val="24"/>
          <w:szCs w:val="24"/>
        </w:rPr>
        <w:lastRenderedPageBreak/>
        <w:t>Therefore, t</w:t>
      </w:r>
      <w:r w:rsidR="00B3429E">
        <w:rPr>
          <w:color w:val="000000" w:themeColor="text1"/>
          <w:sz w:val="24"/>
          <w:szCs w:val="24"/>
        </w:rPr>
        <w:t xml:space="preserve">he provisions of Subpart XXX </w:t>
      </w:r>
      <w:r w:rsidR="00B3429E">
        <w:rPr>
          <w:b/>
          <w:color w:val="000000" w:themeColor="text1"/>
          <w:sz w:val="24"/>
          <w:szCs w:val="24"/>
          <w:u w:val="single"/>
        </w:rPr>
        <w:t>will be</w:t>
      </w:r>
      <w:r w:rsidR="00B3429E">
        <w:rPr>
          <w:color w:val="000000" w:themeColor="text1"/>
          <w:sz w:val="24"/>
          <w:szCs w:val="24"/>
        </w:rPr>
        <w:t xml:space="preserve"> applicable </w:t>
      </w:r>
      <w:r w:rsidR="00284CE9">
        <w:rPr>
          <w:color w:val="000000" w:themeColor="text1"/>
          <w:sz w:val="24"/>
          <w:szCs w:val="24"/>
        </w:rPr>
        <w:t>once the facility commences</w:t>
      </w:r>
      <w:r w:rsidR="00B3429E">
        <w:rPr>
          <w:color w:val="000000" w:themeColor="text1"/>
          <w:sz w:val="24"/>
          <w:szCs w:val="24"/>
        </w:rPr>
        <w:t xml:space="preserve"> </w:t>
      </w:r>
      <w:r w:rsidR="00284CE9">
        <w:rPr>
          <w:color w:val="000000" w:themeColor="text1"/>
          <w:sz w:val="24"/>
          <w:szCs w:val="24"/>
        </w:rPr>
        <w:t>construction on the expansion</w:t>
      </w:r>
      <w:r w:rsidR="00B3429E">
        <w:rPr>
          <w:color w:val="000000" w:themeColor="text1"/>
          <w:sz w:val="24"/>
          <w:szCs w:val="24"/>
        </w:rPr>
        <w:t>.</w:t>
      </w:r>
      <w:r w:rsidR="00E15DF9">
        <w:rPr>
          <w:color w:val="000000" w:themeColor="text1"/>
          <w:sz w:val="24"/>
          <w:szCs w:val="24"/>
        </w:rPr>
        <w:t xml:space="preserve"> </w:t>
      </w:r>
      <w:r>
        <w:rPr>
          <w:color w:val="000000" w:themeColor="text1"/>
          <w:sz w:val="24"/>
          <w:szCs w:val="24"/>
        </w:rPr>
        <w:t xml:space="preserve"> </w:t>
      </w:r>
      <w:r w:rsidR="00E15DF9">
        <w:rPr>
          <w:color w:val="000000" w:themeColor="text1"/>
          <w:sz w:val="24"/>
          <w:szCs w:val="24"/>
        </w:rPr>
        <w:t xml:space="preserve">A </w:t>
      </w:r>
      <w:r>
        <w:rPr>
          <w:color w:val="000000" w:themeColor="text1"/>
          <w:sz w:val="24"/>
          <w:szCs w:val="24"/>
        </w:rPr>
        <w:t>“</w:t>
      </w:r>
      <w:r w:rsidR="00E15DF9">
        <w:rPr>
          <w:color w:val="000000" w:themeColor="text1"/>
          <w:sz w:val="24"/>
          <w:szCs w:val="24"/>
        </w:rPr>
        <w:t>Tier 2</w:t>
      </w:r>
      <w:r>
        <w:rPr>
          <w:color w:val="000000" w:themeColor="text1"/>
          <w:sz w:val="24"/>
          <w:szCs w:val="24"/>
        </w:rPr>
        <w:t>”</w:t>
      </w:r>
      <w:r w:rsidR="00E15DF9">
        <w:rPr>
          <w:color w:val="000000" w:themeColor="text1"/>
          <w:sz w:val="24"/>
          <w:szCs w:val="24"/>
        </w:rPr>
        <w:t xml:space="preserve"> test conducted in 2018 resulted in the calculated NMOC emission rate of 11.4 </w:t>
      </w:r>
      <w:r>
        <w:rPr>
          <w:color w:val="000000" w:themeColor="text1"/>
          <w:sz w:val="24"/>
          <w:szCs w:val="24"/>
        </w:rPr>
        <w:t xml:space="preserve">megagrams per </w:t>
      </w:r>
      <w:r w:rsidR="00E15DF9">
        <w:rPr>
          <w:color w:val="000000" w:themeColor="text1"/>
          <w:sz w:val="24"/>
          <w:szCs w:val="24"/>
        </w:rPr>
        <w:t>y</w:t>
      </w:r>
      <w:r>
        <w:rPr>
          <w:color w:val="000000" w:themeColor="text1"/>
          <w:sz w:val="24"/>
          <w:szCs w:val="24"/>
        </w:rPr>
        <w:t>ea</w:t>
      </w:r>
      <w:r w:rsidR="00E15DF9">
        <w:rPr>
          <w:color w:val="000000" w:themeColor="text1"/>
          <w:sz w:val="24"/>
          <w:szCs w:val="24"/>
        </w:rPr>
        <w:t xml:space="preserve">r.  As such, the facility </w:t>
      </w:r>
      <w:r>
        <w:rPr>
          <w:color w:val="000000" w:themeColor="text1"/>
          <w:sz w:val="24"/>
          <w:szCs w:val="24"/>
        </w:rPr>
        <w:t>is</w:t>
      </w:r>
      <w:r w:rsidR="00E15DF9">
        <w:rPr>
          <w:color w:val="000000" w:themeColor="text1"/>
          <w:sz w:val="24"/>
          <w:szCs w:val="24"/>
        </w:rPr>
        <w:t xml:space="preserve"> not required to design, install, and operate </w:t>
      </w:r>
      <w:proofErr w:type="gramStart"/>
      <w:r w:rsidR="00E15DF9">
        <w:rPr>
          <w:color w:val="000000" w:themeColor="text1"/>
          <w:sz w:val="24"/>
          <w:szCs w:val="24"/>
        </w:rPr>
        <w:t xml:space="preserve">a </w:t>
      </w:r>
      <w:r>
        <w:rPr>
          <w:color w:val="000000" w:themeColor="text1"/>
          <w:sz w:val="24"/>
          <w:szCs w:val="24"/>
        </w:rPr>
        <w:t>GCCS</w:t>
      </w:r>
      <w:proofErr w:type="gramEnd"/>
      <w:r>
        <w:rPr>
          <w:color w:val="000000" w:themeColor="text1"/>
          <w:sz w:val="24"/>
          <w:szCs w:val="24"/>
        </w:rPr>
        <w:t xml:space="preserve"> </w:t>
      </w:r>
      <w:proofErr w:type="gramStart"/>
      <w:r>
        <w:rPr>
          <w:color w:val="000000" w:themeColor="text1"/>
          <w:sz w:val="24"/>
          <w:szCs w:val="24"/>
        </w:rPr>
        <w:t>at this time</w:t>
      </w:r>
      <w:proofErr w:type="gramEnd"/>
      <w:r w:rsidR="00E15DF9">
        <w:rPr>
          <w:color w:val="000000" w:themeColor="text1"/>
          <w:sz w:val="24"/>
          <w:szCs w:val="24"/>
        </w:rPr>
        <w:t>.</w:t>
      </w:r>
    </w:p>
    <w:p w14:paraId="2455211C" w14:textId="31F30190" w:rsidR="00294181" w:rsidRDefault="00294181" w:rsidP="00294181">
      <w:pPr>
        <w:spacing w:before="240" w:after="120"/>
        <w:jc w:val="both"/>
        <w:rPr>
          <w:sz w:val="24"/>
          <w:szCs w:val="24"/>
          <w:u w:val="single"/>
        </w:rPr>
      </w:pPr>
      <w:r>
        <w:rPr>
          <w:sz w:val="24"/>
          <w:szCs w:val="24"/>
          <w:u w:val="single"/>
        </w:rPr>
        <w:t>FEDERAL PLAN</w:t>
      </w:r>
    </w:p>
    <w:p w14:paraId="70E3F8F9" w14:textId="560CCEB0" w:rsidR="00294181" w:rsidRDefault="00294181" w:rsidP="00294181">
      <w:pPr>
        <w:keepNext/>
        <w:spacing w:before="240" w:after="120"/>
        <w:jc w:val="both"/>
        <w:rPr>
          <w:b/>
          <w:i/>
          <w:sz w:val="24"/>
          <w:szCs w:val="24"/>
        </w:rPr>
      </w:pPr>
      <w:r>
        <w:rPr>
          <w:b/>
          <w:i/>
          <w:sz w:val="24"/>
          <w:szCs w:val="24"/>
        </w:rPr>
        <w:t xml:space="preserve">40 CFR 62, </w:t>
      </w:r>
      <w:r w:rsidR="00A577E9">
        <w:rPr>
          <w:b/>
          <w:i/>
          <w:sz w:val="24"/>
          <w:szCs w:val="24"/>
        </w:rPr>
        <w:t xml:space="preserve">Part </w:t>
      </w:r>
      <w:r>
        <w:rPr>
          <w:b/>
          <w:i/>
          <w:sz w:val="24"/>
          <w:szCs w:val="24"/>
        </w:rPr>
        <w:t xml:space="preserve">Subpart OOO – </w:t>
      </w:r>
      <w:r w:rsidRPr="00FB386E">
        <w:rPr>
          <w:b/>
          <w:i/>
          <w:sz w:val="24"/>
          <w:szCs w:val="24"/>
        </w:rPr>
        <w:t xml:space="preserve">Federal Plan Requirements for Municipal Solid Waste Landfills That Commenced Construction </w:t>
      </w:r>
      <w:proofErr w:type="gramStart"/>
      <w:r w:rsidRPr="00FB386E">
        <w:rPr>
          <w:b/>
          <w:i/>
          <w:sz w:val="24"/>
          <w:szCs w:val="24"/>
        </w:rPr>
        <w:t>On</w:t>
      </w:r>
      <w:proofErr w:type="gramEnd"/>
      <w:r w:rsidRPr="00FB386E">
        <w:rPr>
          <w:b/>
          <w:i/>
          <w:sz w:val="24"/>
          <w:szCs w:val="24"/>
        </w:rPr>
        <w:t xml:space="preserve"> or Before July 17, </w:t>
      </w:r>
      <w:proofErr w:type="gramStart"/>
      <w:r w:rsidRPr="00FB386E">
        <w:rPr>
          <w:b/>
          <w:i/>
          <w:sz w:val="24"/>
          <w:szCs w:val="24"/>
        </w:rPr>
        <w:t>2014</w:t>
      </w:r>
      <w:proofErr w:type="gramEnd"/>
      <w:r w:rsidRPr="00FB386E">
        <w:rPr>
          <w:b/>
          <w:i/>
          <w:sz w:val="24"/>
          <w:szCs w:val="24"/>
        </w:rPr>
        <w:t xml:space="preserve"> and Have Not Been Modified or Reconstructed Since July 17, 2014</w:t>
      </w:r>
      <w:r>
        <w:rPr>
          <w:b/>
          <w:i/>
          <w:sz w:val="24"/>
          <w:szCs w:val="24"/>
        </w:rPr>
        <w:t xml:space="preserve"> </w:t>
      </w:r>
    </w:p>
    <w:p w14:paraId="15344D44" w14:textId="6079801C" w:rsidR="00FC4528" w:rsidRDefault="00294181" w:rsidP="001942DF">
      <w:pPr>
        <w:jc w:val="both"/>
        <w:rPr>
          <w:sz w:val="24"/>
          <w:szCs w:val="24"/>
        </w:rPr>
      </w:pPr>
      <w:r>
        <w:rPr>
          <w:sz w:val="24"/>
          <w:szCs w:val="24"/>
        </w:rPr>
        <w:t xml:space="preserve">The Federal Plan implementing the 2016 Emission Guidelines and Compliance Times for Existing Municipal Solid Waste Landfills (40 CFR 60 Subpart Cf) was finalized on May 10, 2021. </w:t>
      </w:r>
      <w:r w:rsidR="00A577E9">
        <w:rPr>
          <w:sz w:val="24"/>
          <w:szCs w:val="24"/>
        </w:rPr>
        <w:t xml:space="preserve"> </w:t>
      </w:r>
      <w:r>
        <w:rPr>
          <w:sz w:val="24"/>
          <w:szCs w:val="24"/>
        </w:rPr>
        <w:t xml:space="preserve">Since </w:t>
      </w:r>
      <w:r w:rsidR="00A577E9">
        <w:rPr>
          <w:sz w:val="24"/>
          <w:szCs w:val="24"/>
        </w:rPr>
        <w:t>M</w:t>
      </w:r>
      <w:r>
        <w:rPr>
          <w:sz w:val="24"/>
          <w:szCs w:val="24"/>
        </w:rPr>
        <w:t>DEQ does not have an approved State Plan, Subpart OOO is in effect and enforce</w:t>
      </w:r>
      <w:r w:rsidR="00A577E9">
        <w:rPr>
          <w:sz w:val="24"/>
          <w:szCs w:val="24"/>
        </w:rPr>
        <w:t>able solely</w:t>
      </w:r>
      <w:r>
        <w:rPr>
          <w:sz w:val="24"/>
          <w:szCs w:val="24"/>
        </w:rPr>
        <w:t xml:space="preserve"> by EPA Region 4</w:t>
      </w:r>
      <w:r w:rsidR="00A577E9">
        <w:rPr>
          <w:sz w:val="24"/>
          <w:szCs w:val="24"/>
        </w:rPr>
        <w:t xml:space="preserve"> (until such time that MDEQ formally adopts the Federal Plan or EPA approves MDEQ’s State Plan)</w:t>
      </w:r>
      <w:r>
        <w:rPr>
          <w:sz w:val="24"/>
          <w:szCs w:val="24"/>
        </w:rPr>
        <w:t xml:space="preserve">. </w:t>
      </w:r>
      <w:r w:rsidR="00A577E9">
        <w:rPr>
          <w:sz w:val="24"/>
          <w:szCs w:val="24"/>
        </w:rPr>
        <w:t xml:space="preserve"> </w:t>
      </w:r>
    </w:p>
    <w:p w14:paraId="4273500C" w14:textId="40DBCF0C" w:rsidR="001942DF" w:rsidRPr="00FC4528" w:rsidRDefault="00A577E9" w:rsidP="00FC4528">
      <w:pPr>
        <w:keepNext/>
        <w:spacing w:before="120" w:after="120"/>
        <w:jc w:val="both"/>
        <w:rPr>
          <w:color w:val="000000" w:themeColor="text1"/>
          <w:sz w:val="24"/>
          <w:szCs w:val="24"/>
        </w:rPr>
      </w:pPr>
      <w:r>
        <w:rPr>
          <w:color w:val="000000" w:themeColor="text1"/>
          <w:sz w:val="24"/>
          <w:szCs w:val="24"/>
        </w:rPr>
        <w:t>Since Canton Landfill’s</w:t>
      </w:r>
      <w:r w:rsidR="00FC4528" w:rsidRPr="00FC210B">
        <w:rPr>
          <w:sz w:val="24"/>
          <w:szCs w:val="24"/>
        </w:rPr>
        <w:t xml:space="preserve"> </w:t>
      </w:r>
      <w:r>
        <w:rPr>
          <w:sz w:val="24"/>
          <w:szCs w:val="24"/>
        </w:rPr>
        <w:t xml:space="preserve">current </w:t>
      </w:r>
      <w:r w:rsidR="00FC4528" w:rsidRPr="00FC210B">
        <w:rPr>
          <w:sz w:val="24"/>
          <w:szCs w:val="24"/>
        </w:rPr>
        <w:t xml:space="preserve">design capacity </w:t>
      </w:r>
      <w:r>
        <w:rPr>
          <w:sz w:val="24"/>
          <w:szCs w:val="24"/>
        </w:rPr>
        <w:t>is</w:t>
      </w:r>
      <w:r w:rsidR="00FC4528" w:rsidRPr="00FC210B">
        <w:rPr>
          <w:sz w:val="24"/>
          <w:szCs w:val="24"/>
        </w:rPr>
        <w:t xml:space="preserve"> less than 2.5 million megagrams per year and 2.5 million cubic meters, the facility was only required to submit the initial design capacity report until such time the landfill is modified to exceed the</w:t>
      </w:r>
      <w:r>
        <w:rPr>
          <w:sz w:val="24"/>
          <w:szCs w:val="24"/>
        </w:rPr>
        <w:t xml:space="preserve"> referenced </w:t>
      </w:r>
      <w:r w:rsidR="00FC4528" w:rsidRPr="00FC210B">
        <w:rPr>
          <w:sz w:val="24"/>
          <w:szCs w:val="24"/>
        </w:rPr>
        <w:t>thresholds.</w:t>
      </w:r>
      <w:r w:rsidR="00FC4528">
        <w:rPr>
          <w:sz w:val="24"/>
          <w:szCs w:val="24"/>
        </w:rPr>
        <w:t xml:space="preserve"> S</w:t>
      </w:r>
      <w:r w:rsidR="001942DF">
        <w:rPr>
          <w:sz w:val="24"/>
          <w:szCs w:val="24"/>
        </w:rPr>
        <w:t xml:space="preserve">hould the Canton Landfill undergo an expansion, the landfill will become subject to the requirements of 40 CFR </w:t>
      </w:r>
      <w:r>
        <w:rPr>
          <w:sz w:val="24"/>
          <w:szCs w:val="24"/>
        </w:rPr>
        <w:t xml:space="preserve">Part </w:t>
      </w:r>
      <w:r w:rsidR="001942DF">
        <w:rPr>
          <w:sz w:val="24"/>
          <w:szCs w:val="24"/>
        </w:rPr>
        <w:t xml:space="preserve">60 </w:t>
      </w:r>
      <w:r>
        <w:rPr>
          <w:sz w:val="24"/>
          <w:szCs w:val="24"/>
        </w:rPr>
        <w:t xml:space="preserve">– </w:t>
      </w:r>
      <w:r w:rsidR="001942DF">
        <w:rPr>
          <w:sz w:val="24"/>
          <w:szCs w:val="24"/>
        </w:rPr>
        <w:t xml:space="preserve">Subpart XXX, and the Federal Plan and State Plan will no longer apply. </w:t>
      </w:r>
    </w:p>
    <w:p w14:paraId="557CFA1B" w14:textId="77777777" w:rsidR="00294181" w:rsidRDefault="00294181" w:rsidP="00104CE2">
      <w:pPr>
        <w:jc w:val="both"/>
        <w:rPr>
          <w:sz w:val="24"/>
          <w:szCs w:val="24"/>
          <w:u w:val="single"/>
        </w:rPr>
      </w:pPr>
    </w:p>
    <w:p w14:paraId="5C45E470" w14:textId="1C67CF00" w:rsidR="00531513" w:rsidRDefault="00531513" w:rsidP="00104CE2">
      <w:pPr>
        <w:jc w:val="both"/>
        <w:rPr>
          <w:sz w:val="24"/>
          <w:szCs w:val="24"/>
          <w:u w:val="single"/>
        </w:rPr>
      </w:pPr>
      <w:r>
        <w:rPr>
          <w:sz w:val="24"/>
          <w:szCs w:val="24"/>
          <w:u w:val="single"/>
        </w:rPr>
        <w:t>SPECIFIC APPLICABLE REQUIREMENTS</w:t>
      </w:r>
    </w:p>
    <w:p w14:paraId="07D0B4EB" w14:textId="77777777" w:rsidR="00531513" w:rsidRDefault="00531513" w:rsidP="00531513">
      <w:pPr>
        <w:rPr>
          <w:sz w:val="24"/>
          <w:szCs w:val="24"/>
        </w:rPr>
      </w:pPr>
    </w:p>
    <w:tbl>
      <w:tblPr>
        <w:tblW w:w="9885"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89"/>
        <w:gridCol w:w="1156"/>
        <w:gridCol w:w="3870"/>
        <w:gridCol w:w="3870"/>
      </w:tblGrid>
      <w:tr w:rsidR="00531513" w:rsidRPr="00416A67" w14:paraId="6ABD94A9" w14:textId="77777777" w:rsidTr="00A577E9">
        <w:trPr>
          <w:cantSplit/>
          <w:trHeight w:val="632"/>
          <w:tblHeader/>
          <w:jc w:val="center"/>
        </w:trPr>
        <w:tc>
          <w:tcPr>
            <w:tcW w:w="989" w:type="dxa"/>
            <w:tcBorders>
              <w:top w:val="double" w:sz="4" w:space="0" w:color="auto"/>
            </w:tcBorders>
            <w:shd w:val="pct20" w:color="auto" w:fill="FFFFFF"/>
            <w:vAlign w:val="center"/>
          </w:tcPr>
          <w:p w14:paraId="6CB95A63" w14:textId="77777777" w:rsidR="00531513" w:rsidRPr="00416A67" w:rsidRDefault="00531513" w:rsidP="00A577E9">
            <w:pPr>
              <w:spacing w:before="60" w:after="60"/>
              <w:jc w:val="center"/>
              <w:rPr>
                <w:b/>
                <w:bCs/>
              </w:rPr>
            </w:pPr>
            <w:r w:rsidRPr="00416A67">
              <w:rPr>
                <w:b/>
                <w:bCs/>
              </w:rPr>
              <w:t>Emission Point No.</w:t>
            </w:r>
          </w:p>
        </w:tc>
        <w:tc>
          <w:tcPr>
            <w:tcW w:w="1156" w:type="dxa"/>
            <w:tcBorders>
              <w:top w:val="double" w:sz="4" w:space="0" w:color="auto"/>
            </w:tcBorders>
            <w:shd w:val="pct20" w:color="auto" w:fill="FFFFFF"/>
            <w:vAlign w:val="center"/>
          </w:tcPr>
          <w:p w14:paraId="1DCD66F8" w14:textId="77777777" w:rsidR="00531513" w:rsidRPr="00416A67" w:rsidRDefault="00531513" w:rsidP="00A577E9">
            <w:pPr>
              <w:spacing w:before="60" w:after="60"/>
              <w:jc w:val="center"/>
              <w:rPr>
                <w:b/>
                <w:bCs/>
              </w:rPr>
            </w:pPr>
            <w:r w:rsidRPr="00416A67">
              <w:rPr>
                <w:b/>
                <w:bCs/>
              </w:rPr>
              <w:t>Pollutant</w:t>
            </w:r>
          </w:p>
        </w:tc>
        <w:tc>
          <w:tcPr>
            <w:tcW w:w="3870" w:type="dxa"/>
            <w:tcBorders>
              <w:top w:val="double" w:sz="4" w:space="0" w:color="auto"/>
            </w:tcBorders>
            <w:shd w:val="pct20" w:color="auto" w:fill="FFFFFF"/>
            <w:vAlign w:val="center"/>
          </w:tcPr>
          <w:p w14:paraId="6BF3E8B8" w14:textId="77777777" w:rsidR="00531513" w:rsidRPr="00416A67" w:rsidRDefault="00531513" w:rsidP="00A577E9">
            <w:pPr>
              <w:spacing w:before="60" w:after="60"/>
              <w:jc w:val="center"/>
              <w:rPr>
                <w:b/>
                <w:bCs/>
              </w:rPr>
            </w:pPr>
            <w:r w:rsidRPr="00416A67">
              <w:rPr>
                <w:b/>
                <w:bCs/>
              </w:rPr>
              <w:t>Draft Permit Emission Limits</w:t>
            </w:r>
          </w:p>
        </w:tc>
        <w:tc>
          <w:tcPr>
            <w:tcW w:w="3870" w:type="dxa"/>
            <w:tcBorders>
              <w:top w:val="double" w:sz="4" w:space="0" w:color="auto"/>
            </w:tcBorders>
            <w:shd w:val="pct20" w:color="auto" w:fill="FFFFFF"/>
            <w:vAlign w:val="center"/>
          </w:tcPr>
          <w:p w14:paraId="0733D6A1" w14:textId="77777777" w:rsidR="00531513" w:rsidRPr="00416A67" w:rsidRDefault="00531513" w:rsidP="00A577E9">
            <w:pPr>
              <w:spacing w:before="60" w:after="60"/>
              <w:jc w:val="center"/>
              <w:rPr>
                <w:b/>
                <w:bCs/>
              </w:rPr>
            </w:pPr>
            <w:r w:rsidRPr="00416A67">
              <w:rPr>
                <w:b/>
                <w:bCs/>
              </w:rPr>
              <w:t>Monitoring Requirements</w:t>
            </w:r>
          </w:p>
        </w:tc>
      </w:tr>
      <w:tr w:rsidR="00531513" w:rsidRPr="00416A67" w14:paraId="0150E34F" w14:textId="77777777" w:rsidTr="00A577E9">
        <w:trPr>
          <w:cantSplit/>
          <w:trHeight w:val="632"/>
          <w:jc w:val="center"/>
        </w:trPr>
        <w:tc>
          <w:tcPr>
            <w:tcW w:w="989" w:type="dxa"/>
            <w:vAlign w:val="center"/>
          </w:tcPr>
          <w:p w14:paraId="05FCFDC0" w14:textId="1A58CB69" w:rsidR="00531513" w:rsidRPr="00416A67" w:rsidRDefault="006B020F" w:rsidP="00A577E9">
            <w:pPr>
              <w:spacing w:before="60" w:after="60"/>
              <w:jc w:val="center"/>
            </w:pPr>
            <w:r w:rsidRPr="00416A67">
              <w:t>AA-001</w:t>
            </w:r>
          </w:p>
        </w:tc>
        <w:tc>
          <w:tcPr>
            <w:tcW w:w="1156" w:type="dxa"/>
            <w:vAlign w:val="center"/>
          </w:tcPr>
          <w:p w14:paraId="559F66DF" w14:textId="36CB0574" w:rsidR="00531513" w:rsidRPr="00416A67" w:rsidRDefault="006B020F" w:rsidP="00A577E9">
            <w:pPr>
              <w:spacing w:before="60" w:after="60"/>
              <w:jc w:val="center"/>
            </w:pPr>
            <w:r w:rsidRPr="00416A67">
              <w:t>NMOC</w:t>
            </w:r>
            <w:r w:rsidR="00A577E9">
              <w:t>s</w:t>
            </w:r>
          </w:p>
        </w:tc>
        <w:tc>
          <w:tcPr>
            <w:tcW w:w="3870" w:type="dxa"/>
            <w:vAlign w:val="center"/>
          </w:tcPr>
          <w:p w14:paraId="5F3A54B9" w14:textId="5097FF8B" w:rsidR="00531513" w:rsidRPr="00416A67" w:rsidRDefault="006B020F" w:rsidP="00A577E9">
            <w:pPr>
              <w:spacing w:before="60" w:after="60"/>
              <w:jc w:val="center"/>
            </w:pPr>
            <w:r w:rsidRPr="00416A67">
              <w:t>34 Mg/yr NMOC emission threshold for control of landfill gas</w:t>
            </w:r>
          </w:p>
        </w:tc>
        <w:tc>
          <w:tcPr>
            <w:tcW w:w="3870" w:type="dxa"/>
            <w:vAlign w:val="center"/>
          </w:tcPr>
          <w:p w14:paraId="5BD123A2" w14:textId="5597950F" w:rsidR="00531513" w:rsidRPr="00416A67" w:rsidRDefault="00C05EAC" w:rsidP="00A577E9">
            <w:pPr>
              <w:spacing w:before="60" w:after="60"/>
              <w:jc w:val="center"/>
            </w:pPr>
            <w:r w:rsidRPr="00416A67">
              <w:t>Determine NMOC emission rate on an annual basis, unless otherwise specified</w:t>
            </w:r>
          </w:p>
        </w:tc>
      </w:tr>
    </w:tbl>
    <w:p w14:paraId="7651A596" w14:textId="77777777" w:rsidR="00BA3BCF" w:rsidRPr="00BA3BCF" w:rsidRDefault="00BA3BCF" w:rsidP="00BA3BC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32"/>
          <w:szCs w:val="24"/>
        </w:rPr>
      </w:pPr>
    </w:p>
    <w:sectPr w:rsidR="00BA3BCF" w:rsidRPr="00BA3BCF" w:rsidSect="00421490">
      <w:headerReference w:type="default" r:id="rId7"/>
      <w:footerReference w:type="default" r:id="rId8"/>
      <w:pgSz w:w="12240" w:h="15840" w:code="1"/>
      <w:pgMar w:top="1440" w:right="1440" w:bottom="1440" w:left="144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8CE58" w14:textId="77777777" w:rsidR="008E1130" w:rsidRDefault="008E1130">
      <w:r>
        <w:separator/>
      </w:r>
    </w:p>
  </w:endnote>
  <w:endnote w:type="continuationSeparator" w:id="0">
    <w:p w14:paraId="5642043B" w14:textId="77777777" w:rsidR="008E1130" w:rsidRDefault="008E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A52D0" w14:textId="77777777" w:rsidR="005E1C12" w:rsidRPr="00A577E9" w:rsidRDefault="005E1C12">
    <w:pPr>
      <w:pStyle w:val="Footer"/>
      <w:tabs>
        <w:tab w:val="clear" w:pos="8640"/>
        <w:tab w:val="right" w:pos="9270"/>
      </w:tabs>
    </w:pPr>
    <w:bookmarkStart w:id="0" w:name="aiid"/>
    <w:r w:rsidRPr="00A577E9">
      <w:t>4483</w:t>
    </w:r>
    <w:bookmarkEnd w:id="0"/>
    <w:r w:rsidRPr="00A577E9">
      <w:t xml:space="preserve"> PER20220002</w:t>
    </w:r>
    <w:r w:rsidRPr="00A577E9">
      <w:tab/>
    </w:r>
    <w:r w:rsidRPr="00A577E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91CBD" w14:textId="77777777" w:rsidR="008E1130" w:rsidRDefault="008E1130">
      <w:r>
        <w:separator/>
      </w:r>
    </w:p>
  </w:footnote>
  <w:footnote w:type="continuationSeparator" w:id="0">
    <w:p w14:paraId="20A97BBD" w14:textId="77777777" w:rsidR="008E1130" w:rsidRDefault="008E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E5F7" w14:textId="77777777" w:rsidR="00BC4760" w:rsidRPr="00BC4760" w:rsidRDefault="00BC4760">
    <w:pPr>
      <w:pStyle w:val="Header"/>
      <w:jc w:val="right"/>
      <w:rPr>
        <w:sz w:val="24"/>
        <w:szCs w:val="24"/>
      </w:rPr>
    </w:pPr>
    <w:r w:rsidRPr="00BC4760">
      <w:rPr>
        <w:sz w:val="24"/>
        <w:szCs w:val="24"/>
      </w:rPr>
      <w:t>Information Relative to the Title V Permit</w:t>
    </w:r>
  </w:p>
  <w:p w14:paraId="1A54080E" w14:textId="77777777" w:rsidR="00BC4760" w:rsidRDefault="00BC4760">
    <w:pPr>
      <w:pStyle w:val="Header"/>
      <w:jc w:val="right"/>
    </w:pPr>
    <w:r w:rsidRPr="00BC4760">
      <w:rPr>
        <w:sz w:val="24"/>
        <w:szCs w:val="24"/>
      </w:rPr>
      <w:t xml:space="preserve">Page </w:t>
    </w:r>
    <w:r w:rsidRPr="00BC4760">
      <w:rPr>
        <w:bCs/>
        <w:sz w:val="24"/>
        <w:szCs w:val="24"/>
      </w:rPr>
      <w:fldChar w:fldCharType="begin"/>
    </w:r>
    <w:r w:rsidRPr="00BC4760">
      <w:rPr>
        <w:bCs/>
        <w:sz w:val="24"/>
        <w:szCs w:val="24"/>
      </w:rPr>
      <w:instrText xml:space="preserve"> PAGE </w:instrText>
    </w:r>
    <w:r w:rsidRPr="00BC4760">
      <w:rPr>
        <w:bCs/>
        <w:sz w:val="24"/>
        <w:szCs w:val="24"/>
      </w:rPr>
      <w:fldChar w:fldCharType="separate"/>
    </w:r>
    <w:r w:rsidR="00D4021F">
      <w:rPr>
        <w:bCs/>
        <w:noProof/>
        <w:sz w:val="24"/>
        <w:szCs w:val="24"/>
      </w:rPr>
      <w:t>2</w:t>
    </w:r>
    <w:r w:rsidRPr="00BC4760">
      <w:rPr>
        <w:bCs/>
        <w:sz w:val="24"/>
        <w:szCs w:val="24"/>
      </w:rPr>
      <w:fldChar w:fldCharType="end"/>
    </w:r>
    <w:r w:rsidRPr="00BC4760">
      <w:rPr>
        <w:sz w:val="24"/>
        <w:szCs w:val="24"/>
      </w:rPr>
      <w:t xml:space="preserve"> of </w:t>
    </w:r>
    <w:r w:rsidRPr="00BC4760">
      <w:rPr>
        <w:bCs/>
        <w:sz w:val="24"/>
        <w:szCs w:val="24"/>
      </w:rPr>
      <w:fldChar w:fldCharType="begin"/>
    </w:r>
    <w:r w:rsidRPr="00BC4760">
      <w:rPr>
        <w:bCs/>
        <w:sz w:val="24"/>
        <w:szCs w:val="24"/>
      </w:rPr>
      <w:instrText xml:space="preserve"> NUMPAGES  </w:instrText>
    </w:r>
    <w:r w:rsidRPr="00BC4760">
      <w:rPr>
        <w:bCs/>
        <w:sz w:val="24"/>
        <w:szCs w:val="24"/>
      </w:rPr>
      <w:fldChar w:fldCharType="separate"/>
    </w:r>
    <w:r w:rsidR="00D4021F">
      <w:rPr>
        <w:bCs/>
        <w:noProof/>
        <w:sz w:val="24"/>
        <w:szCs w:val="24"/>
      </w:rPr>
      <w:t>4</w:t>
    </w:r>
    <w:r w:rsidRPr="00BC4760">
      <w:rPr>
        <w:bCs/>
        <w:sz w:val="24"/>
        <w:szCs w:val="24"/>
      </w:rPr>
      <w:fldChar w:fldCharType="end"/>
    </w:r>
  </w:p>
  <w:p w14:paraId="24C5B3F7" w14:textId="77777777" w:rsidR="00BC4760" w:rsidRDefault="00BC4760" w:rsidP="00BC476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44E36"/>
    <w:multiLevelType w:val="hybridMultilevel"/>
    <w:tmpl w:val="ACA274BA"/>
    <w:lvl w:ilvl="0" w:tplc="A92EB2B0">
      <w:start w:val="4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EF2E54"/>
    <w:multiLevelType w:val="hybridMultilevel"/>
    <w:tmpl w:val="F278A928"/>
    <w:lvl w:ilvl="0" w:tplc="42424BF8">
      <w:start w:val="4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606BC"/>
    <w:multiLevelType w:val="hybridMultilevel"/>
    <w:tmpl w:val="FE186438"/>
    <w:lvl w:ilvl="0" w:tplc="607014B0">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07C7BA2"/>
    <w:multiLevelType w:val="hybridMultilevel"/>
    <w:tmpl w:val="479CBCA8"/>
    <w:lvl w:ilvl="0" w:tplc="0E8C4E46">
      <w:start w:val="4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8B2338"/>
    <w:multiLevelType w:val="hybridMultilevel"/>
    <w:tmpl w:val="14FC4D2A"/>
    <w:lvl w:ilvl="0" w:tplc="61AA1A1C">
      <w:start w:val="4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DF40CE"/>
    <w:multiLevelType w:val="hybridMultilevel"/>
    <w:tmpl w:val="CFCC71A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8E3354"/>
    <w:multiLevelType w:val="hybridMultilevel"/>
    <w:tmpl w:val="26F62B7E"/>
    <w:lvl w:ilvl="0" w:tplc="87E29406">
      <w:start w:val="4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397741"/>
    <w:multiLevelType w:val="hybridMultilevel"/>
    <w:tmpl w:val="CEE82308"/>
    <w:lvl w:ilvl="0" w:tplc="8FBCACAC">
      <w:start w:val="4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484A30"/>
    <w:multiLevelType w:val="hybridMultilevel"/>
    <w:tmpl w:val="0F56B42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16cid:durableId="1124271332">
    <w:abstractNumId w:val="5"/>
  </w:num>
  <w:num w:numId="2" w16cid:durableId="1496796111">
    <w:abstractNumId w:val="2"/>
  </w:num>
  <w:num w:numId="3" w16cid:durableId="2103211586">
    <w:abstractNumId w:val="3"/>
  </w:num>
  <w:num w:numId="4" w16cid:durableId="423651947">
    <w:abstractNumId w:val="7"/>
  </w:num>
  <w:num w:numId="5" w16cid:durableId="79759942">
    <w:abstractNumId w:val="0"/>
  </w:num>
  <w:num w:numId="6" w16cid:durableId="1250116923">
    <w:abstractNumId w:val="4"/>
  </w:num>
  <w:num w:numId="7" w16cid:durableId="187529732">
    <w:abstractNumId w:val="6"/>
  </w:num>
  <w:num w:numId="8" w16cid:durableId="491917690">
    <w:abstractNumId w:val="1"/>
  </w:num>
  <w:num w:numId="9" w16cid:durableId="1785347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E5D"/>
    <w:rsid w:val="0002453B"/>
    <w:rsid w:val="00035DD2"/>
    <w:rsid w:val="00041FCB"/>
    <w:rsid w:val="0005117D"/>
    <w:rsid w:val="00072EE6"/>
    <w:rsid w:val="00083009"/>
    <w:rsid w:val="0009297B"/>
    <w:rsid w:val="000934D6"/>
    <w:rsid w:val="000A0C6F"/>
    <w:rsid w:val="000C10C1"/>
    <w:rsid w:val="000C6031"/>
    <w:rsid w:val="000F5391"/>
    <w:rsid w:val="00104CE2"/>
    <w:rsid w:val="00116779"/>
    <w:rsid w:val="00141F9A"/>
    <w:rsid w:val="00147049"/>
    <w:rsid w:val="001511B9"/>
    <w:rsid w:val="00151AE0"/>
    <w:rsid w:val="00154641"/>
    <w:rsid w:val="00160F2D"/>
    <w:rsid w:val="00161C17"/>
    <w:rsid w:val="0018210B"/>
    <w:rsid w:val="001942DF"/>
    <w:rsid w:val="002109C2"/>
    <w:rsid w:val="00213759"/>
    <w:rsid w:val="002177C8"/>
    <w:rsid w:val="00237507"/>
    <w:rsid w:val="002478F3"/>
    <w:rsid w:val="0025327D"/>
    <w:rsid w:val="00270F53"/>
    <w:rsid w:val="00272DF9"/>
    <w:rsid w:val="00280FAA"/>
    <w:rsid w:val="00284CE9"/>
    <w:rsid w:val="00294181"/>
    <w:rsid w:val="002A62E3"/>
    <w:rsid w:val="002A71C6"/>
    <w:rsid w:val="002B31B0"/>
    <w:rsid w:val="002D2FD8"/>
    <w:rsid w:val="002D58EE"/>
    <w:rsid w:val="00343B8E"/>
    <w:rsid w:val="003569E6"/>
    <w:rsid w:val="003624CD"/>
    <w:rsid w:val="003661C1"/>
    <w:rsid w:val="00377E35"/>
    <w:rsid w:val="003A4126"/>
    <w:rsid w:val="003C2807"/>
    <w:rsid w:val="003E1CD8"/>
    <w:rsid w:val="003F7CF6"/>
    <w:rsid w:val="004020F9"/>
    <w:rsid w:val="00416A67"/>
    <w:rsid w:val="00421490"/>
    <w:rsid w:val="00430F3D"/>
    <w:rsid w:val="0043365D"/>
    <w:rsid w:val="00447388"/>
    <w:rsid w:val="00461018"/>
    <w:rsid w:val="00471345"/>
    <w:rsid w:val="0048090B"/>
    <w:rsid w:val="0049771A"/>
    <w:rsid w:val="00502BDC"/>
    <w:rsid w:val="00503AF0"/>
    <w:rsid w:val="00531513"/>
    <w:rsid w:val="00533EFC"/>
    <w:rsid w:val="00573932"/>
    <w:rsid w:val="00576660"/>
    <w:rsid w:val="0057731E"/>
    <w:rsid w:val="00577CB8"/>
    <w:rsid w:val="00595509"/>
    <w:rsid w:val="005B2301"/>
    <w:rsid w:val="005C46A6"/>
    <w:rsid w:val="005D0C80"/>
    <w:rsid w:val="005D7E4C"/>
    <w:rsid w:val="005E1C12"/>
    <w:rsid w:val="005F6106"/>
    <w:rsid w:val="00647AE0"/>
    <w:rsid w:val="006570C8"/>
    <w:rsid w:val="00665743"/>
    <w:rsid w:val="006812B4"/>
    <w:rsid w:val="00681AD1"/>
    <w:rsid w:val="0069240F"/>
    <w:rsid w:val="006A2FCD"/>
    <w:rsid w:val="006A52EB"/>
    <w:rsid w:val="006B020F"/>
    <w:rsid w:val="006D4AA1"/>
    <w:rsid w:val="006D5A8C"/>
    <w:rsid w:val="006E74C7"/>
    <w:rsid w:val="006F0510"/>
    <w:rsid w:val="0072616E"/>
    <w:rsid w:val="00756ECA"/>
    <w:rsid w:val="00757B3E"/>
    <w:rsid w:val="00764A34"/>
    <w:rsid w:val="0076636C"/>
    <w:rsid w:val="00777EEF"/>
    <w:rsid w:val="007C1397"/>
    <w:rsid w:val="007D59A6"/>
    <w:rsid w:val="007E6415"/>
    <w:rsid w:val="007E6D99"/>
    <w:rsid w:val="00824A76"/>
    <w:rsid w:val="00842A1B"/>
    <w:rsid w:val="00852478"/>
    <w:rsid w:val="0086140E"/>
    <w:rsid w:val="008751D1"/>
    <w:rsid w:val="0089117D"/>
    <w:rsid w:val="008A1F39"/>
    <w:rsid w:val="008A385B"/>
    <w:rsid w:val="008B14C4"/>
    <w:rsid w:val="008D05E2"/>
    <w:rsid w:val="008E1130"/>
    <w:rsid w:val="00900E96"/>
    <w:rsid w:val="00913A3B"/>
    <w:rsid w:val="00934A58"/>
    <w:rsid w:val="00941800"/>
    <w:rsid w:val="00951761"/>
    <w:rsid w:val="009733EB"/>
    <w:rsid w:val="00984B3A"/>
    <w:rsid w:val="00987B4A"/>
    <w:rsid w:val="00991620"/>
    <w:rsid w:val="009A1105"/>
    <w:rsid w:val="009A1E5D"/>
    <w:rsid w:val="009C793C"/>
    <w:rsid w:val="009D25D0"/>
    <w:rsid w:val="009E3C18"/>
    <w:rsid w:val="009E6919"/>
    <w:rsid w:val="00A03FF7"/>
    <w:rsid w:val="00A219FF"/>
    <w:rsid w:val="00A31F25"/>
    <w:rsid w:val="00A35286"/>
    <w:rsid w:val="00A45645"/>
    <w:rsid w:val="00A577E9"/>
    <w:rsid w:val="00A97B05"/>
    <w:rsid w:val="00AA0887"/>
    <w:rsid w:val="00AA3B2A"/>
    <w:rsid w:val="00AB6090"/>
    <w:rsid w:val="00AD7559"/>
    <w:rsid w:val="00AE4F70"/>
    <w:rsid w:val="00B14B3F"/>
    <w:rsid w:val="00B14D72"/>
    <w:rsid w:val="00B16DC0"/>
    <w:rsid w:val="00B3429E"/>
    <w:rsid w:val="00B41A16"/>
    <w:rsid w:val="00B43950"/>
    <w:rsid w:val="00BA35A4"/>
    <w:rsid w:val="00BA3BCF"/>
    <w:rsid w:val="00BA66E2"/>
    <w:rsid w:val="00BC4760"/>
    <w:rsid w:val="00BD04F0"/>
    <w:rsid w:val="00BF16FD"/>
    <w:rsid w:val="00BF417E"/>
    <w:rsid w:val="00C037CE"/>
    <w:rsid w:val="00C05EAC"/>
    <w:rsid w:val="00C159FA"/>
    <w:rsid w:val="00C50599"/>
    <w:rsid w:val="00C53F3A"/>
    <w:rsid w:val="00C54703"/>
    <w:rsid w:val="00C55969"/>
    <w:rsid w:val="00C55BED"/>
    <w:rsid w:val="00C70670"/>
    <w:rsid w:val="00C72133"/>
    <w:rsid w:val="00C9427D"/>
    <w:rsid w:val="00CA29AE"/>
    <w:rsid w:val="00CA3438"/>
    <w:rsid w:val="00CB077D"/>
    <w:rsid w:val="00CB37B4"/>
    <w:rsid w:val="00CB5A6E"/>
    <w:rsid w:val="00CC1957"/>
    <w:rsid w:val="00CF3B57"/>
    <w:rsid w:val="00CF7048"/>
    <w:rsid w:val="00D0538F"/>
    <w:rsid w:val="00D4021F"/>
    <w:rsid w:val="00D411E5"/>
    <w:rsid w:val="00D55C92"/>
    <w:rsid w:val="00D62E13"/>
    <w:rsid w:val="00D654AF"/>
    <w:rsid w:val="00D7182F"/>
    <w:rsid w:val="00D801A1"/>
    <w:rsid w:val="00D90F67"/>
    <w:rsid w:val="00DD5DF1"/>
    <w:rsid w:val="00DF31AD"/>
    <w:rsid w:val="00DF6377"/>
    <w:rsid w:val="00E03D2E"/>
    <w:rsid w:val="00E15DF9"/>
    <w:rsid w:val="00E302DE"/>
    <w:rsid w:val="00E32C65"/>
    <w:rsid w:val="00E40CDF"/>
    <w:rsid w:val="00E47E8E"/>
    <w:rsid w:val="00E5217D"/>
    <w:rsid w:val="00E60EA3"/>
    <w:rsid w:val="00E7432D"/>
    <w:rsid w:val="00E74B07"/>
    <w:rsid w:val="00E76429"/>
    <w:rsid w:val="00E77C66"/>
    <w:rsid w:val="00E85349"/>
    <w:rsid w:val="00EA58AA"/>
    <w:rsid w:val="00EA6AF2"/>
    <w:rsid w:val="00EB5C15"/>
    <w:rsid w:val="00ED2C87"/>
    <w:rsid w:val="00ED6D14"/>
    <w:rsid w:val="00EF004E"/>
    <w:rsid w:val="00F027FE"/>
    <w:rsid w:val="00F13398"/>
    <w:rsid w:val="00F2153D"/>
    <w:rsid w:val="00F3523D"/>
    <w:rsid w:val="00F4361D"/>
    <w:rsid w:val="00F74657"/>
    <w:rsid w:val="00F81CC8"/>
    <w:rsid w:val="00F83CBF"/>
    <w:rsid w:val="00FA08E5"/>
    <w:rsid w:val="00FA1459"/>
    <w:rsid w:val="00FA5317"/>
    <w:rsid w:val="00FC0485"/>
    <w:rsid w:val="00FC210B"/>
    <w:rsid w:val="00FC33A0"/>
    <w:rsid w:val="00FC4528"/>
    <w:rsid w:val="00FC4671"/>
    <w:rsid w:val="00FD3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0388F2"/>
  <w14:defaultImageDpi w14:val="0"/>
  <w15:docId w15:val="{80AD8F29-452E-4565-BB50-F6F7169A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rFonts w:cs="Times New Roman"/>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customStyle="1" w:styleId="1">
    <w:name w:val="1"/>
    <w:aliases w:val="2,3"/>
    <w:uiPriority w:val="99"/>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character" w:styleId="CommentReference">
    <w:name w:val="annotation reference"/>
    <w:basedOn w:val="DefaultParagraphFont"/>
    <w:uiPriority w:val="99"/>
    <w:semiHidden/>
    <w:unhideWhenUsed/>
    <w:rsid w:val="00461018"/>
    <w:rPr>
      <w:rFonts w:cs="Times New Roman"/>
      <w:sz w:val="16"/>
      <w:szCs w:val="16"/>
    </w:rPr>
  </w:style>
  <w:style w:type="paragraph" w:styleId="CommentText">
    <w:name w:val="annotation text"/>
    <w:basedOn w:val="Normal"/>
    <w:link w:val="CommentTextChar"/>
    <w:uiPriority w:val="99"/>
    <w:semiHidden/>
    <w:unhideWhenUsed/>
    <w:rsid w:val="00461018"/>
  </w:style>
  <w:style w:type="character" w:customStyle="1" w:styleId="CommentTextChar">
    <w:name w:val="Comment Text Char"/>
    <w:basedOn w:val="DefaultParagraphFont"/>
    <w:link w:val="CommentText"/>
    <w:uiPriority w:val="99"/>
    <w:semiHidden/>
    <w:locked/>
    <w:rsid w:val="00461018"/>
    <w:rPr>
      <w:rFonts w:cs="Times New Roman"/>
      <w:sz w:val="20"/>
      <w:szCs w:val="20"/>
    </w:rPr>
  </w:style>
  <w:style w:type="paragraph" w:styleId="CommentSubject">
    <w:name w:val="annotation subject"/>
    <w:basedOn w:val="CommentText"/>
    <w:next w:val="CommentText"/>
    <w:link w:val="CommentSubjectChar"/>
    <w:uiPriority w:val="99"/>
    <w:semiHidden/>
    <w:unhideWhenUsed/>
    <w:rsid w:val="00461018"/>
    <w:rPr>
      <w:b/>
      <w:bCs/>
    </w:rPr>
  </w:style>
  <w:style w:type="character" w:customStyle="1" w:styleId="CommentSubjectChar">
    <w:name w:val="Comment Subject Char"/>
    <w:basedOn w:val="CommentTextChar"/>
    <w:link w:val="CommentSubject"/>
    <w:uiPriority w:val="99"/>
    <w:semiHidden/>
    <w:locked/>
    <w:rsid w:val="00461018"/>
    <w:rPr>
      <w:rFonts w:cs="Times New Roman"/>
      <w:b/>
      <w:bCs/>
      <w:sz w:val="20"/>
      <w:szCs w:val="20"/>
    </w:rPr>
  </w:style>
  <w:style w:type="table" w:styleId="TableGrid">
    <w:name w:val="Table Grid"/>
    <w:basedOn w:val="TableNormal"/>
    <w:uiPriority w:val="59"/>
    <w:rsid w:val="00C72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rsid w:val="006A52EB"/>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84745">
      <w:bodyDiv w:val="1"/>
      <w:marLeft w:val="0"/>
      <w:marRight w:val="0"/>
      <w:marTop w:val="0"/>
      <w:marBottom w:val="0"/>
      <w:divBdr>
        <w:top w:val="none" w:sz="0" w:space="0" w:color="auto"/>
        <w:left w:val="none" w:sz="0" w:space="0" w:color="auto"/>
        <w:bottom w:val="none" w:sz="0" w:space="0" w:color="auto"/>
        <w:right w:val="none" w:sz="0" w:space="0" w:color="auto"/>
      </w:divBdr>
    </w:div>
    <w:div w:id="329605662">
      <w:bodyDiv w:val="1"/>
      <w:marLeft w:val="0"/>
      <w:marRight w:val="0"/>
      <w:marTop w:val="0"/>
      <w:marBottom w:val="0"/>
      <w:divBdr>
        <w:top w:val="none" w:sz="0" w:space="0" w:color="auto"/>
        <w:left w:val="none" w:sz="0" w:space="0" w:color="auto"/>
        <w:bottom w:val="none" w:sz="0" w:space="0" w:color="auto"/>
        <w:right w:val="none" w:sz="0" w:space="0" w:color="auto"/>
      </w:divBdr>
    </w:div>
    <w:div w:id="1295331560">
      <w:bodyDiv w:val="1"/>
      <w:marLeft w:val="0"/>
      <w:marRight w:val="0"/>
      <w:marTop w:val="0"/>
      <w:marBottom w:val="0"/>
      <w:divBdr>
        <w:top w:val="none" w:sz="0" w:space="0" w:color="auto"/>
        <w:left w:val="none" w:sz="0" w:space="0" w:color="auto"/>
        <w:bottom w:val="none" w:sz="0" w:space="0" w:color="auto"/>
        <w:right w:val="none" w:sz="0" w:space="0" w:color="auto"/>
      </w:divBdr>
    </w:div>
    <w:div w:id="142541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1859</Words>
  <Characters>10694</Characters>
  <Application>Microsoft Office Word</Application>
  <DocSecurity>0</DocSecurity>
  <Lines>169</Lines>
  <Paragraphs>66</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subject/>
  <dc:creator>Bruce Ferguson</dc:creator>
  <cp:keywords/>
  <dc:description/>
  <cp:lastModifiedBy>Jaricus Whitlock</cp:lastModifiedBy>
  <cp:revision>2</cp:revision>
  <cp:lastPrinted>2019-09-20T14:53:00Z</cp:lastPrinted>
  <dcterms:created xsi:type="dcterms:W3CDTF">2026-07-07T06:58:00Z</dcterms:created>
  <dcterms:modified xsi:type="dcterms:W3CDTF">2026-07-07T06:58:00Z</dcterms:modified>
</cp:coreProperties>
</file>