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E2313" w14:textId="77777777" w:rsidR="00AE785C" w:rsidRDefault="00AE785C">
      <w:pPr>
        <w:pStyle w:val="Title"/>
        <w:rPr>
          <w:sz w:val="28"/>
          <w:szCs w:val="28"/>
          <w:u w:val="single"/>
        </w:rPr>
      </w:pPr>
      <w:r>
        <w:rPr>
          <w:sz w:val="28"/>
          <w:szCs w:val="28"/>
          <w:u w:val="single"/>
        </w:rPr>
        <w:t>PERMIT REVIEW SUMMARY</w:t>
      </w:r>
    </w:p>
    <w:p w14:paraId="355468FE" w14:textId="77777777" w:rsidR="00AE785C" w:rsidRDefault="00AE785C">
      <w:pPr>
        <w:pStyle w:val="Title"/>
        <w:jc w:val="both"/>
      </w:pPr>
    </w:p>
    <w:p w14:paraId="024CB0FE" w14:textId="0DC93D7A" w:rsidR="00233312" w:rsidRDefault="00233312" w:rsidP="00233312">
      <w:pPr>
        <w:pStyle w:val="Title"/>
        <w:jc w:val="both"/>
      </w:pPr>
      <w:r>
        <w:t>Permit Writer:</w:t>
      </w:r>
      <w:r>
        <w:tab/>
      </w:r>
      <w:r w:rsidR="001B6A8B">
        <w:rPr>
          <w:b w:val="0"/>
        </w:rPr>
        <w:t>Ryan Wigginton</w:t>
      </w:r>
      <w:r>
        <w:rPr>
          <w:b w:val="0"/>
        </w:rPr>
        <w:t xml:space="preserve"> </w:t>
      </w:r>
      <w:r>
        <w:rPr>
          <w:b w:val="0"/>
        </w:rPr>
        <w:tab/>
      </w:r>
      <w:r>
        <w:t>Date:</w:t>
      </w:r>
      <w:r>
        <w:rPr>
          <w:b w:val="0"/>
        </w:rPr>
        <w:tab/>
      </w:r>
      <w:r w:rsidR="00674247">
        <w:rPr>
          <w:b w:val="0"/>
        </w:rPr>
        <w:t>May 1</w:t>
      </w:r>
      <w:r w:rsidR="001B6A8B">
        <w:rPr>
          <w:b w:val="0"/>
        </w:rPr>
        <w:t>2</w:t>
      </w:r>
      <w:r w:rsidR="00674247">
        <w:rPr>
          <w:b w:val="0"/>
        </w:rPr>
        <w:t>, 2026</w:t>
      </w:r>
    </w:p>
    <w:p w14:paraId="420E9A49" w14:textId="77777777" w:rsidR="00AE785C" w:rsidRDefault="00AE785C">
      <w:pPr>
        <w:pStyle w:val="Title"/>
        <w:jc w:val="both"/>
      </w:pPr>
      <w:r>
        <w:t>Company Name:</w:t>
      </w:r>
      <w:r>
        <w:tab/>
      </w:r>
      <w:r>
        <w:rPr>
          <w:b w:val="0"/>
          <w:bCs w:val="0"/>
        </w:rPr>
        <w:t>University of Mississippi Medical Center</w:t>
      </w:r>
    </w:p>
    <w:p w14:paraId="06C13D24" w14:textId="77777777" w:rsidR="00AE785C" w:rsidRDefault="00AE785C">
      <w:pPr>
        <w:pStyle w:val="Title"/>
        <w:jc w:val="both"/>
        <w:rPr>
          <w:b w:val="0"/>
          <w:bCs w:val="0"/>
        </w:rPr>
      </w:pPr>
      <w:r>
        <w:t>Facility Location:</w:t>
      </w:r>
      <w:r>
        <w:tab/>
      </w:r>
      <w:r>
        <w:rPr>
          <w:b w:val="0"/>
          <w:bCs w:val="0"/>
        </w:rPr>
        <w:t>2500 North State Street</w:t>
      </w:r>
    </w:p>
    <w:p w14:paraId="6AD505F8" w14:textId="77777777" w:rsidR="00AE785C" w:rsidRDefault="00AE785C">
      <w:pPr>
        <w:pStyle w:val="Title"/>
        <w:jc w:val="both"/>
      </w:pPr>
      <w:r>
        <w:t>Source Number:</w:t>
      </w:r>
      <w:r>
        <w:tab/>
      </w:r>
      <w:r>
        <w:rPr>
          <w:b w:val="0"/>
          <w:bCs w:val="0"/>
        </w:rPr>
        <w:t>1080-00102</w:t>
      </w:r>
    </w:p>
    <w:p w14:paraId="4F2EE7FA" w14:textId="77777777" w:rsidR="00AE785C" w:rsidRDefault="00AE785C">
      <w:pPr>
        <w:pStyle w:val="Title"/>
        <w:jc w:val="both"/>
      </w:pPr>
      <w:r>
        <w:t xml:space="preserve">County: </w:t>
      </w:r>
      <w:r>
        <w:tab/>
      </w:r>
      <w:r>
        <w:tab/>
      </w:r>
      <w:r>
        <w:rPr>
          <w:b w:val="0"/>
          <w:bCs w:val="0"/>
        </w:rPr>
        <w:t>Hinds</w:t>
      </w:r>
    </w:p>
    <w:p w14:paraId="5586427A" w14:textId="77777777" w:rsidR="00AE785C" w:rsidRDefault="00AE785C">
      <w:pPr>
        <w:pStyle w:val="Title"/>
        <w:jc w:val="both"/>
      </w:pPr>
    </w:p>
    <w:p w14:paraId="1AB1284D" w14:textId="77777777" w:rsidR="001D7E96" w:rsidRDefault="001D7E96" w:rsidP="001D7E96">
      <w:pPr>
        <w:pStyle w:val="Title"/>
        <w:jc w:val="both"/>
        <w:rPr>
          <w:u w:val="single"/>
        </w:rPr>
      </w:pPr>
      <w:r>
        <w:rPr>
          <w:u w:val="single"/>
        </w:rPr>
        <w:t>FACILITY DESCRIPTION</w:t>
      </w:r>
    </w:p>
    <w:p w14:paraId="1963CD9E" w14:textId="77777777" w:rsidR="001D7E96" w:rsidRDefault="001D7E96" w:rsidP="001D7E96">
      <w:pPr>
        <w:pStyle w:val="Title"/>
        <w:jc w:val="both"/>
        <w:rPr>
          <w:u w:val="single"/>
        </w:rPr>
      </w:pPr>
    </w:p>
    <w:p w14:paraId="6706623B" w14:textId="0133DAAD" w:rsidR="001F196C" w:rsidRDefault="001F196C" w:rsidP="001F196C">
      <w:pPr>
        <w:pStyle w:val="Title"/>
        <w:jc w:val="both"/>
        <w:rPr>
          <w:b w:val="0"/>
          <w:bCs w:val="0"/>
        </w:rPr>
      </w:pPr>
      <w:r>
        <w:rPr>
          <w:b w:val="0"/>
          <w:bCs w:val="0"/>
        </w:rPr>
        <w:t>The University of Mississippi Medical Center (UMMC) is an existing institutional facility that provides medical services and serves as the health sciences campus for the University of Mississippi.  Overall, the UMMC operates a number of emission sources, which are encompassed within certain groups: multi-fuel burning combustion units (i.e. boilers, water heaters, dryers, and air make-up units), emergency generator engines (both diesel-fired and natural gas-fired), and storage tanks (both aboveground and underground).</w:t>
      </w:r>
      <w:r w:rsidR="001549AB">
        <w:rPr>
          <w:b w:val="0"/>
          <w:bCs w:val="0"/>
        </w:rPr>
        <w:t xml:space="preserve">  Operations fall under SIC code 8062</w:t>
      </w:r>
      <w:r w:rsidR="00873266">
        <w:rPr>
          <w:b w:val="0"/>
          <w:bCs w:val="0"/>
        </w:rPr>
        <w:t xml:space="preserve"> and NAICS code 622110</w:t>
      </w:r>
      <w:r w:rsidR="008B0A07">
        <w:rPr>
          <w:b w:val="0"/>
          <w:bCs w:val="0"/>
        </w:rPr>
        <w:t>: General Medical and Surgical Hospitals.</w:t>
      </w:r>
    </w:p>
    <w:p w14:paraId="24D3F05B" w14:textId="0437AD77" w:rsidR="001D7E96" w:rsidRDefault="001D7E96" w:rsidP="001F196C">
      <w:pPr>
        <w:pStyle w:val="Title"/>
        <w:jc w:val="left"/>
        <w:rPr>
          <w:b w:val="0"/>
          <w:bCs w:val="0"/>
        </w:rPr>
      </w:pPr>
    </w:p>
    <w:p w14:paraId="50A914F2" w14:textId="77777777" w:rsidR="001D7E96" w:rsidRDefault="001D7E96" w:rsidP="001D7E96">
      <w:pPr>
        <w:pStyle w:val="Title"/>
        <w:jc w:val="both"/>
        <w:rPr>
          <w:u w:val="single"/>
        </w:rPr>
      </w:pPr>
      <w:r>
        <w:rPr>
          <w:u w:val="single"/>
        </w:rPr>
        <w:t>PROJECT/PERMIT ACTION DESCRIPTION</w:t>
      </w:r>
    </w:p>
    <w:p w14:paraId="019579E2" w14:textId="77777777" w:rsidR="001D7E96" w:rsidRDefault="001D7E96" w:rsidP="001D7E96">
      <w:pPr>
        <w:pStyle w:val="Title"/>
        <w:jc w:val="both"/>
        <w:rPr>
          <w:u w:val="single"/>
        </w:rPr>
      </w:pPr>
    </w:p>
    <w:p w14:paraId="36EF0343" w14:textId="77777777" w:rsidR="00625655" w:rsidRDefault="005C4151" w:rsidP="001D7E96">
      <w:pPr>
        <w:pStyle w:val="Title"/>
        <w:jc w:val="both"/>
        <w:rPr>
          <w:b w:val="0"/>
          <w:bCs w:val="0"/>
        </w:rPr>
      </w:pPr>
      <w:r>
        <w:rPr>
          <w:b w:val="0"/>
          <w:bCs w:val="0"/>
        </w:rPr>
        <w:t>UMMC has applied to reissue their existing synthetic minor operating permit (SMOP)</w:t>
      </w:r>
      <w:r w:rsidR="00313845">
        <w:rPr>
          <w:b w:val="0"/>
          <w:bCs w:val="0"/>
        </w:rPr>
        <w:t xml:space="preserve">.  </w:t>
      </w:r>
      <w:r w:rsidR="00625655">
        <w:rPr>
          <w:b w:val="0"/>
          <w:bCs w:val="0"/>
        </w:rPr>
        <w:t>Changes to this permit include the following:</w:t>
      </w:r>
    </w:p>
    <w:p w14:paraId="5E719124" w14:textId="0B22F3FB" w:rsidR="001D7E96" w:rsidRDefault="00313845" w:rsidP="00625655">
      <w:pPr>
        <w:pStyle w:val="Title"/>
        <w:numPr>
          <w:ilvl w:val="0"/>
          <w:numId w:val="12"/>
        </w:numPr>
        <w:jc w:val="both"/>
        <w:rPr>
          <w:b w:val="0"/>
          <w:bCs w:val="0"/>
        </w:rPr>
      </w:pPr>
      <w:r>
        <w:rPr>
          <w:b w:val="0"/>
          <w:bCs w:val="0"/>
        </w:rPr>
        <w:t>UMMC has requested to add</w:t>
      </w:r>
      <w:r w:rsidR="00265675">
        <w:rPr>
          <w:b w:val="0"/>
          <w:bCs w:val="0"/>
        </w:rPr>
        <w:t xml:space="preserve"> six proposed emergency engines during this reissuance.  </w:t>
      </w:r>
      <w:r w:rsidR="00DC0A72">
        <w:rPr>
          <w:b w:val="0"/>
          <w:bCs w:val="0"/>
        </w:rPr>
        <w:t>Each is an 839 HP diesel-fired back-up emergency generator engine</w:t>
      </w:r>
      <w:r w:rsidR="006A50AB">
        <w:rPr>
          <w:b w:val="0"/>
          <w:bCs w:val="0"/>
        </w:rPr>
        <w:t xml:space="preserve"> and has been incorporated into the permit </w:t>
      </w:r>
      <w:r w:rsidR="00BA5F0A">
        <w:rPr>
          <w:b w:val="0"/>
          <w:bCs w:val="0"/>
        </w:rPr>
        <w:t>as Emission Points AA-414, AA-415, AA-416, AA-417, AA-418, and AA-419.</w:t>
      </w:r>
      <w:r w:rsidR="00675F7F">
        <w:rPr>
          <w:b w:val="0"/>
          <w:bCs w:val="0"/>
        </w:rPr>
        <w:t xml:space="preserve">  This action did not require additional requirements, as other current engines are applicable to the same federal and state standards.  </w:t>
      </w:r>
      <w:r w:rsidR="00D13AD5">
        <w:rPr>
          <w:b w:val="0"/>
          <w:bCs w:val="0"/>
        </w:rPr>
        <w:t>These emission units were added to those conditions.</w:t>
      </w:r>
      <w:r w:rsidR="00AB00FF">
        <w:rPr>
          <w:b w:val="0"/>
          <w:bCs w:val="0"/>
        </w:rPr>
        <w:t xml:space="preserve">  </w:t>
      </w:r>
    </w:p>
    <w:p w14:paraId="24F577D8" w14:textId="6B2C09FB" w:rsidR="00B20DB5" w:rsidRDefault="00B20DB5" w:rsidP="00625655">
      <w:pPr>
        <w:pStyle w:val="Title"/>
        <w:numPr>
          <w:ilvl w:val="0"/>
          <w:numId w:val="12"/>
        </w:numPr>
        <w:jc w:val="both"/>
        <w:rPr>
          <w:b w:val="0"/>
          <w:bCs w:val="0"/>
        </w:rPr>
      </w:pPr>
      <w:r>
        <w:rPr>
          <w:b w:val="0"/>
          <w:bCs w:val="0"/>
        </w:rPr>
        <w:t>Emission Points AA-200a and AA-200b (</w:t>
      </w:r>
      <w:r w:rsidR="00BC1D64">
        <w:rPr>
          <w:b w:val="0"/>
          <w:bCs w:val="0"/>
        </w:rPr>
        <w:t xml:space="preserve">laundry service </w:t>
      </w:r>
      <w:r w:rsidR="008E5B24">
        <w:rPr>
          <w:b w:val="0"/>
          <w:bCs w:val="0"/>
        </w:rPr>
        <w:t>boilers) were removed from the permit as they are located at the site but have been removed from natural gas</w:t>
      </w:r>
      <w:r w:rsidR="00D42D6D">
        <w:rPr>
          <w:b w:val="0"/>
          <w:bCs w:val="0"/>
        </w:rPr>
        <w:t xml:space="preserve"> connection and are no longer operational.</w:t>
      </w:r>
    </w:p>
    <w:p w14:paraId="663E43C8" w14:textId="4E0025CC" w:rsidR="006061B1" w:rsidRDefault="006061B1" w:rsidP="00625655">
      <w:pPr>
        <w:pStyle w:val="Title"/>
        <w:numPr>
          <w:ilvl w:val="0"/>
          <w:numId w:val="12"/>
        </w:numPr>
        <w:jc w:val="both"/>
        <w:rPr>
          <w:b w:val="0"/>
          <w:bCs w:val="0"/>
        </w:rPr>
      </w:pPr>
      <w:r>
        <w:rPr>
          <w:b w:val="0"/>
          <w:bCs w:val="0"/>
        </w:rPr>
        <w:t>Emissions Points AA-400e, AA-400f, and AA-400g (</w:t>
      </w:r>
      <w:r w:rsidR="00C91A8B">
        <w:rPr>
          <w:b w:val="0"/>
          <w:bCs w:val="0"/>
        </w:rPr>
        <w:t xml:space="preserve">emergency generators) were removed from the permit as they </w:t>
      </w:r>
      <w:r w:rsidR="00D4446A">
        <w:rPr>
          <w:b w:val="0"/>
          <w:bCs w:val="0"/>
        </w:rPr>
        <w:t>have been removed from service.</w:t>
      </w:r>
    </w:p>
    <w:p w14:paraId="7F6ACFE1" w14:textId="65BEA60F" w:rsidR="00D4446A" w:rsidRDefault="00CC3018" w:rsidP="00625655">
      <w:pPr>
        <w:pStyle w:val="Title"/>
        <w:numPr>
          <w:ilvl w:val="0"/>
          <w:numId w:val="12"/>
        </w:numPr>
        <w:jc w:val="both"/>
        <w:rPr>
          <w:b w:val="0"/>
          <w:bCs w:val="0"/>
        </w:rPr>
      </w:pPr>
      <w:r>
        <w:rPr>
          <w:b w:val="0"/>
          <w:bCs w:val="0"/>
        </w:rPr>
        <w:t xml:space="preserve">Increased the number of </w:t>
      </w:r>
      <w:r w:rsidR="00593FAA">
        <w:rPr>
          <w:b w:val="0"/>
          <w:bCs w:val="0"/>
        </w:rPr>
        <w:t>natural gas-fired air make-</w:t>
      </w:r>
      <w:r w:rsidR="004A135C">
        <w:rPr>
          <w:b w:val="0"/>
          <w:bCs w:val="0"/>
        </w:rPr>
        <w:t xml:space="preserve">up </w:t>
      </w:r>
      <w:r w:rsidR="00593FAA">
        <w:rPr>
          <w:b w:val="0"/>
          <w:bCs w:val="0"/>
        </w:rPr>
        <w:t xml:space="preserve">burner units (Emission Point AA-800) from 18 units to 23.  This includes </w:t>
      </w:r>
      <w:r w:rsidR="00BC1D64">
        <w:rPr>
          <w:b w:val="0"/>
          <w:bCs w:val="0"/>
        </w:rPr>
        <w:t xml:space="preserve">five units that replaced the laundry service boilers and also increased the total heat input capacity from 5.35 MMBTU/hr to </w:t>
      </w:r>
      <w:r w:rsidR="00236CBA">
        <w:rPr>
          <w:b w:val="0"/>
          <w:bCs w:val="0"/>
        </w:rPr>
        <w:t>5.85.</w:t>
      </w:r>
    </w:p>
    <w:p w14:paraId="3BAC8D41" w14:textId="072868D2" w:rsidR="00835E27" w:rsidRDefault="007E227D" w:rsidP="00625655">
      <w:pPr>
        <w:pStyle w:val="Title"/>
        <w:numPr>
          <w:ilvl w:val="0"/>
          <w:numId w:val="12"/>
        </w:numPr>
        <w:jc w:val="both"/>
        <w:rPr>
          <w:b w:val="0"/>
          <w:bCs w:val="0"/>
        </w:rPr>
      </w:pPr>
      <w:r>
        <w:rPr>
          <w:b w:val="0"/>
          <w:bCs w:val="0"/>
        </w:rPr>
        <w:t>Emission Points AA-200f through AA-200m</w:t>
      </w:r>
      <w:r w:rsidR="00EF5C33">
        <w:rPr>
          <w:b w:val="0"/>
          <w:bCs w:val="0"/>
        </w:rPr>
        <w:t xml:space="preserve"> were incorporated into the permit.  These </w:t>
      </w:r>
      <w:r w:rsidR="006B74DE">
        <w:rPr>
          <w:b w:val="0"/>
          <w:bCs w:val="0"/>
        </w:rPr>
        <w:t xml:space="preserve">6.0 MMBTU/hr natural gas-fired </w:t>
      </w:r>
      <w:r w:rsidR="00E60A6A">
        <w:rPr>
          <w:b w:val="0"/>
          <w:bCs w:val="0"/>
        </w:rPr>
        <w:t>boilers (located at Acute Services)</w:t>
      </w:r>
      <w:r w:rsidR="00EF5C33">
        <w:rPr>
          <w:b w:val="0"/>
          <w:bCs w:val="0"/>
        </w:rPr>
        <w:t xml:space="preserve"> are subject to the same requirements as AA-200c through</w:t>
      </w:r>
      <w:r w:rsidR="006B74DE">
        <w:rPr>
          <w:b w:val="0"/>
          <w:bCs w:val="0"/>
        </w:rPr>
        <w:t xml:space="preserve"> AA-200e.</w:t>
      </w:r>
    </w:p>
    <w:p w14:paraId="17DF34CF" w14:textId="10132C81" w:rsidR="00E60A6A" w:rsidRDefault="003751FE" w:rsidP="00625655">
      <w:pPr>
        <w:pStyle w:val="Title"/>
        <w:numPr>
          <w:ilvl w:val="0"/>
          <w:numId w:val="12"/>
        </w:numPr>
        <w:jc w:val="both"/>
        <w:rPr>
          <w:b w:val="0"/>
          <w:bCs w:val="0"/>
        </w:rPr>
      </w:pPr>
      <w:r>
        <w:rPr>
          <w:b w:val="0"/>
          <w:bCs w:val="0"/>
        </w:rPr>
        <w:t xml:space="preserve">Increased the number of </w:t>
      </w:r>
      <w:r w:rsidR="00A56E8C">
        <w:rPr>
          <w:b w:val="0"/>
          <w:bCs w:val="0"/>
        </w:rPr>
        <w:t xml:space="preserve">natural gas-fired heating components </w:t>
      </w:r>
      <w:r w:rsidR="00204C28">
        <w:rPr>
          <w:b w:val="0"/>
          <w:bCs w:val="0"/>
        </w:rPr>
        <w:t xml:space="preserve">(Emission Point AA-700a) </w:t>
      </w:r>
      <w:r w:rsidR="00A56E8C">
        <w:rPr>
          <w:b w:val="0"/>
          <w:bCs w:val="0"/>
        </w:rPr>
        <w:t xml:space="preserve">from 31 to </w:t>
      </w:r>
      <w:r w:rsidR="00204C28">
        <w:rPr>
          <w:b w:val="0"/>
          <w:bCs w:val="0"/>
        </w:rPr>
        <w:t xml:space="preserve">37 total units and increased the total heat input from 31.02 MMBTU/hr to </w:t>
      </w:r>
      <w:r w:rsidR="00211E44">
        <w:rPr>
          <w:b w:val="0"/>
          <w:bCs w:val="0"/>
        </w:rPr>
        <w:t>39.42.</w:t>
      </w:r>
    </w:p>
    <w:p w14:paraId="2BCDE432" w14:textId="074ADF84" w:rsidR="00CC570B" w:rsidRDefault="00290EE5" w:rsidP="000121CC">
      <w:pPr>
        <w:pStyle w:val="Title"/>
        <w:numPr>
          <w:ilvl w:val="0"/>
          <w:numId w:val="12"/>
        </w:numPr>
        <w:jc w:val="both"/>
        <w:rPr>
          <w:b w:val="0"/>
          <w:bCs w:val="0"/>
        </w:rPr>
      </w:pPr>
      <w:r>
        <w:rPr>
          <w:b w:val="0"/>
          <w:bCs w:val="0"/>
        </w:rPr>
        <w:t>Changed the location of emergency generator No. 20 (Emission Point AA-400j) from the SHRP facility to the School of Nursing building.</w:t>
      </w:r>
    </w:p>
    <w:p w14:paraId="45D9FB34" w14:textId="77777777" w:rsidR="001D7E96" w:rsidRDefault="001D7E96" w:rsidP="001D7E96">
      <w:pPr>
        <w:pStyle w:val="Title"/>
        <w:jc w:val="left"/>
        <w:rPr>
          <w:b w:val="0"/>
          <w:bCs w:val="0"/>
        </w:rPr>
      </w:pPr>
    </w:p>
    <w:p w14:paraId="5686D920" w14:textId="77777777" w:rsidR="001D7E96" w:rsidRDefault="001D7E96" w:rsidP="001D7E96">
      <w:pPr>
        <w:pStyle w:val="Title"/>
        <w:jc w:val="both"/>
        <w:rPr>
          <w:u w:val="single"/>
        </w:rPr>
      </w:pPr>
      <w:r>
        <w:rPr>
          <w:u w:val="single"/>
        </w:rPr>
        <w:t>EMISSION SUMMARY</w:t>
      </w:r>
    </w:p>
    <w:p w14:paraId="0E44754C" w14:textId="77777777" w:rsidR="001D7E96" w:rsidRDefault="001D7E96" w:rsidP="001D7E96">
      <w:pPr>
        <w:pStyle w:val="Title"/>
        <w:jc w:val="both"/>
        <w:rPr>
          <w:u w:val="single"/>
        </w:rPr>
      </w:pPr>
    </w:p>
    <w:p w14:paraId="0FB7EF48" w14:textId="4EC3BEE1" w:rsidR="007A3FF1" w:rsidRDefault="00594F77" w:rsidP="00427B75">
      <w:pPr>
        <w:pStyle w:val="Title"/>
        <w:jc w:val="both"/>
        <w:rPr>
          <w:b w:val="0"/>
          <w:bCs w:val="0"/>
        </w:rPr>
      </w:pPr>
      <w:r>
        <w:rPr>
          <w:b w:val="0"/>
          <w:bCs w:val="0"/>
        </w:rPr>
        <w:t xml:space="preserve">The facility </w:t>
      </w:r>
      <w:r w:rsidR="009629BF">
        <w:rPr>
          <w:b w:val="0"/>
          <w:bCs w:val="0"/>
        </w:rPr>
        <w:t xml:space="preserve">is currently permitted to operate </w:t>
      </w:r>
      <w:r w:rsidR="00427B75">
        <w:rPr>
          <w:b w:val="0"/>
          <w:bCs w:val="0"/>
        </w:rPr>
        <w:t xml:space="preserve">many </w:t>
      </w:r>
      <w:r w:rsidR="009629BF">
        <w:rPr>
          <w:b w:val="0"/>
          <w:bCs w:val="0"/>
        </w:rPr>
        <w:t>existing units</w:t>
      </w:r>
      <w:r w:rsidR="00427B75">
        <w:rPr>
          <w:b w:val="0"/>
          <w:bCs w:val="0"/>
        </w:rPr>
        <w:t xml:space="preserve"> including</w:t>
      </w:r>
      <w:r>
        <w:rPr>
          <w:b w:val="0"/>
          <w:bCs w:val="0"/>
        </w:rPr>
        <w:t xml:space="preserve"> </w:t>
      </w:r>
      <w:r w:rsidR="000F3928">
        <w:rPr>
          <w:b w:val="0"/>
          <w:bCs w:val="0"/>
        </w:rPr>
        <w:t>dual-fired boilers</w:t>
      </w:r>
      <w:r w:rsidR="00427B75">
        <w:rPr>
          <w:b w:val="0"/>
          <w:bCs w:val="0"/>
        </w:rPr>
        <w:t xml:space="preserve">, </w:t>
      </w:r>
      <w:r w:rsidR="009629BF">
        <w:rPr>
          <w:b w:val="0"/>
          <w:bCs w:val="0"/>
        </w:rPr>
        <w:t>existing natural gas-fired boilers</w:t>
      </w:r>
      <w:r w:rsidR="00427B75">
        <w:rPr>
          <w:b w:val="0"/>
          <w:bCs w:val="0"/>
        </w:rPr>
        <w:t>,</w:t>
      </w:r>
      <w:r w:rsidR="007A3FF1">
        <w:rPr>
          <w:b w:val="0"/>
          <w:bCs w:val="0"/>
        </w:rPr>
        <w:t xml:space="preserve"> small water heaters, boilers, rooftop air make-up units, and kitchen equipment</w:t>
      </w:r>
      <w:r w:rsidR="00427B75">
        <w:rPr>
          <w:b w:val="0"/>
          <w:bCs w:val="0"/>
        </w:rPr>
        <w:t xml:space="preserve">, </w:t>
      </w:r>
      <w:r w:rsidR="004F1233">
        <w:rPr>
          <w:b w:val="0"/>
          <w:bCs w:val="0"/>
        </w:rPr>
        <w:t xml:space="preserve">reciprocating internal combustion engines </w:t>
      </w:r>
      <w:r w:rsidR="009E762B">
        <w:rPr>
          <w:b w:val="0"/>
          <w:bCs w:val="0"/>
        </w:rPr>
        <w:t xml:space="preserve">(RICE) </w:t>
      </w:r>
      <w:r w:rsidR="004F1233">
        <w:rPr>
          <w:b w:val="0"/>
          <w:bCs w:val="0"/>
        </w:rPr>
        <w:t>utilized for emergency backup power generation purposes</w:t>
      </w:r>
      <w:r w:rsidR="00427B75">
        <w:rPr>
          <w:b w:val="0"/>
          <w:bCs w:val="0"/>
        </w:rPr>
        <w:t xml:space="preserve">, </w:t>
      </w:r>
      <w:r w:rsidR="009E762B">
        <w:rPr>
          <w:b w:val="0"/>
          <w:bCs w:val="0"/>
        </w:rPr>
        <w:t xml:space="preserve">one RICE utilized for fire water protection purposes, </w:t>
      </w:r>
      <w:r w:rsidR="00E77585">
        <w:rPr>
          <w:b w:val="0"/>
          <w:bCs w:val="0"/>
        </w:rPr>
        <w:t xml:space="preserve">cooling towers, </w:t>
      </w:r>
      <w:r w:rsidR="0045729A">
        <w:rPr>
          <w:b w:val="0"/>
          <w:bCs w:val="0"/>
        </w:rPr>
        <w:t xml:space="preserve">as well as storage tanks for </w:t>
      </w:r>
      <w:r w:rsidR="008150C7">
        <w:rPr>
          <w:b w:val="0"/>
          <w:bCs w:val="0"/>
        </w:rPr>
        <w:t>diesel, gasoline</w:t>
      </w:r>
      <w:r w:rsidR="0045729A">
        <w:rPr>
          <w:b w:val="0"/>
          <w:bCs w:val="0"/>
        </w:rPr>
        <w:t xml:space="preserve">, </w:t>
      </w:r>
      <w:r w:rsidR="008150C7">
        <w:rPr>
          <w:b w:val="0"/>
          <w:bCs w:val="0"/>
        </w:rPr>
        <w:t>used oil</w:t>
      </w:r>
      <w:r w:rsidR="0045729A">
        <w:rPr>
          <w:b w:val="0"/>
          <w:bCs w:val="0"/>
        </w:rPr>
        <w:t xml:space="preserve">, </w:t>
      </w:r>
      <w:r w:rsidR="00E77585">
        <w:rPr>
          <w:b w:val="0"/>
          <w:bCs w:val="0"/>
        </w:rPr>
        <w:t xml:space="preserve">and </w:t>
      </w:r>
      <w:r w:rsidR="0045729A">
        <w:rPr>
          <w:b w:val="0"/>
          <w:bCs w:val="0"/>
        </w:rPr>
        <w:t>aviation fuel</w:t>
      </w:r>
      <w:r w:rsidR="00E77585">
        <w:rPr>
          <w:b w:val="0"/>
          <w:bCs w:val="0"/>
        </w:rPr>
        <w:t>.</w:t>
      </w:r>
    </w:p>
    <w:p w14:paraId="276C1D8B" w14:textId="77777777" w:rsidR="00DB0018" w:rsidRDefault="00DB0018" w:rsidP="00427B75">
      <w:pPr>
        <w:pStyle w:val="Title"/>
        <w:jc w:val="both"/>
        <w:rPr>
          <w:b w:val="0"/>
          <w:bCs w:val="0"/>
        </w:rPr>
      </w:pPr>
    </w:p>
    <w:p w14:paraId="5DD4B728" w14:textId="3937C430" w:rsidR="00DB0018" w:rsidRDefault="00DB0018" w:rsidP="00427B75">
      <w:pPr>
        <w:pStyle w:val="Title"/>
        <w:jc w:val="both"/>
        <w:rPr>
          <w:b w:val="0"/>
          <w:bCs w:val="0"/>
        </w:rPr>
      </w:pPr>
      <w:r>
        <w:rPr>
          <w:b w:val="0"/>
          <w:bCs w:val="0"/>
        </w:rPr>
        <w:t xml:space="preserve">The proposed units (listed as No.’s 43, 44, 45, 46, 47, and 48 in the application) are emergency, stationary </w:t>
      </w:r>
      <w:r w:rsidR="0004102A">
        <w:rPr>
          <w:b w:val="0"/>
          <w:bCs w:val="0"/>
        </w:rPr>
        <w:t xml:space="preserve">compression ignition RICE.  Their status as </w:t>
      </w:r>
      <w:r w:rsidR="007620AB">
        <w:rPr>
          <w:b w:val="0"/>
          <w:bCs w:val="0"/>
        </w:rPr>
        <w:t xml:space="preserve">emergency engines </w:t>
      </w:r>
      <w:r w:rsidR="0034427F">
        <w:rPr>
          <w:b w:val="0"/>
          <w:bCs w:val="0"/>
        </w:rPr>
        <w:t>allow</w:t>
      </w:r>
      <w:r w:rsidR="007620AB">
        <w:rPr>
          <w:b w:val="0"/>
          <w:bCs w:val="0"/>
        </w:rPr>
        <w:t xml:space="preserve"> their emissions to be calculated at </w:t>
      </w:r>
      <w:r w:rsidR="00FE74C7">
        <w:rPr>
          <w:b w:val="0"/>
          <w:bCs w:val="0"/>
        </w:rPr>
        <w:t>a limited capacity</w:t>
      </w:r>
      <w:r w:rsidR="0095616D">
        <w:rPr>
          <w:b w:val="0"/>
          <w:bCs w:val="0"/>
        </w:rPr>
        <w:t>.  This increase in emissions rep</w:t>
      </w:r>
      <w:r w:rsidR="00DA2EE4">
        <w:rPr>
          <w:b w:val="0"/>
          <w:bCs w:val="0"/>
        </w:rPr>
        <w:t>resents a</w:t>
      </w:r>
      <w:r w:rsidR="00850FE1">
        <w:rPr>
          <w:b w:val="0"/>
          <w:bCs w:val="0"/>
        </w:rPr>
        <w:t xml:space="preserve"> 15 ton per year (tpy) increase in potential annual emission of nitrogen oxides (NO</w:t>
      </w:r>
      <w:r w:rsidR="00850FE1" w:rsidRPr="00850FE1">
        <w:rPr>
          <w:b w:val="0"/>
          <w:bCs w:val="0"/>
          <w:vertAlign w:val="subscript"/>
        </w:rPr>
        <w:t>X</w:t>
      </w:r>
      <w:r w:rsidR="00850FE1">
        <w:rPr>
          <w:b w:val="0"/>
          <w:bCs w:val="0"/>
          <w:vertAlign w:val="superscript"/>
        </w:rPr>
        <w:t>)</w:t>
      </w:r>
      <w:r w:rsidR="00850FE1">
        <w:rPr>
          <w:b w:val="0"/>
          <w:bCs w:val="0"/>
        </w:rPr>
        <w:t xml:space="preserve">, </w:t>
      </w:r>
      <w:r w:rsidR="0001290D">
        <w:rPr>
          <w:b w:val="0"/>
          <w:bCs w:val="0"/>
        </w:rPr>
        <w:t>0.8 tpy of carbon monoxide (CO),</w:t>
      </w:r>
      <w:r w:rsidR="00AF56AF">
        <w:rPr>
          <w:b w:val="0"/>
          <w:bCs w:val="0"/>
        </w:rPr>
        <w:t xml:space="preserve"> 0.42 tpy of particulate matter (PM),</w:t>
      </w:r>
      <w:r w:rsidR="002075D6">
        <w:rPr>
          <w:b w:val="0"/>
          <w:bCs w:val="0"/>
        </w:rPr>
        <w:t xml:space="preserve"> and</w:t>
      </w:r>
      <w:r w:rsidR="0001290D">
        <w:rPr>
          <w:b w:val="0"/>
          <w:bCs w:val="0"/>
        </w:rPr>
        <w:t xml:space="preserve"> 0.07 tpy of VOC</w:t>
      </w:r>
      <w:r w:rsidR="002075D6">
        <w:rPr>
          <w:b w:val="0"/>
          <w:bCs w:val="0"/>
        </w:rPr>
        <w:t xml:space="preserve">. </w:t>
      </w:r>
      <w:r w:rsidR="00B072C7">
        <w:rPr>
          <w:b w:val="0"/>
          <w:bCs w:val="0"/>
        </w:rPr>
        <w:t xml:space="preserve">The facility’s site-wide emissions </w:t>
      </w:r>
      <w:r w:rsidR="0034427F">
        <w:rPr>
          <w:b w:val="0"/>
          <w:bCs w:val="0"/>
        </w:rPr>
        <w:t>have</w:t>
      </w:r>
      <w:r w:rsidR="00B072C7">
        <w:rPr>
          <w:b w:val="0"/>
          <w:bCs w:val="0"/>
        </w:rPr>
        <w:t xml:space="preserve"> the potential to </w:t>
      </w:r>
      <w:r w:rsidR="003F363E">
        <w:rPr>
          <w:b w:val="0"/>
          <w:bCs w:val="0"/>
        </w:rPr>
        <w:t xml:space="preserve">exceed the Title V emissions threshold of 100 tons per year for </w:t>
      </w:r>
      <w:r w:rsidR="008C63D4">
        <w:rPr>
          <w:b w:val="0"/>
          <w:bCs w:val="0"/>
        </w:rPr>
        <w:t>NO</w:t>
      </w:r>
      <w:r w:rsidR="008C63D4" w:rsidRPr="008C63D4">
        <w:rPr>
          <w:b w:val="0"/>
          <w:bCs w:val="0"/>
          <w:vertAlign w:val="subscript"/>
        </w:rPr>
        <w:t>X</w:t>
      </w:r>
      <w:r w:rsidR="008C63D4">
        <w:rPr>
          <w:b w:val="0"/>
          <w:bCs w:val="0"/>
        </w:rPr>
        <w:t xml:space="preserve"> and CO.</w:t>
      </w:r>
      <w:r w:rsidR="00B072C7">
        <w:rPr>
          <w:b w:val="0"/>
          <w:bCs w:val="0"/>
        </w:rPr>
        <w:t xml:space="preserve"> </w:t>
      </w:r>
    </w:p>
    <w:p w14:paraId="251F3192" w14:textId="77777777" w:rsidR="00233EAD" w:rsidRDefault="00233EAD" w:rsidP="00427B75">
      <w:pPr>
        <w:pStyle w:val="Title"/>
        <w:jc w:val="both"/>
        <w:rPr>
          <w:b w:val="0"/>
          <w:bCs w:val="0"/>
        </w:rPr>
      </w:pPr>
    </w:p>
    <w:tbl>
      <w:tblPr>
        <w:tblStyle w:val="GridTable2"/>
        <w:tblW w:w="0" w:type="auto"/>
        <w:tblLook w:val="04A0" w:firstRow="1" w:lastRow="0" w:firstColumn="1" w:lastColumn="0" w:noHBand="0" w:noVBand="1"/>
      </w:tblPr>
      <w:tblGrid>
        <w:gridCol w:w="4011"/>
        <w:gridCol w:w="3082"/>
      </w:tblGrid>
      <w:tr w:rsidR="00233EAD" w14:paraId="69186C9B" w14:textId="77777777" w:rsidTr="00A363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1" w:type="dxa"/>
          </w:tcPr>
          <w:p w14:paraId="0E527177" w14:textId="45C8ED76" w:rsidR="00233EAD" w:rsidRDefault="00233EAD" w:rsidP="00427B75">
            <w:pPr>
              <w:pStyle w:val="Title"/>
              <w:jc w:val="both"/>
              <w:rPr>
                <w:b/>
                <w:bCs/>
              </w:rPr>
            </w:pPr>
            <w:r>
              <w:rPr>
                <w:b/>
                <w:bCs/>
              </w:rPr>
              <w:t>Pollutant</w:t>
            </w:r>
          </w:p>
        </w:tc>
        <w:tc>
          <w:tcPr>
            <w:tcW w:w="3082" w:type="dxa"/>
          </w:tcPr>
          <w:p w14:paraId="0BD79915" w14:textId="458FABC9" w:rsidR="00233EAD" w:rsidRDefault="00233EAD" w:rsidP="00427B75">
            <w:pPr>
              <w:pStyle w:val="Title"/>
              <w:jc w:val="both"/>
              <w:cnfStyle w:val="100000000000" w:firstRow="1" w:lastRow="0" w:firstColumn="0" w:lastColumn="0" w:oddVBand="0" w:evenVBand="0" w:oddHBand="0" w:evenHBand="0" w:firstRowFirstColumn="0" w:firstRowLastColumn="0" w:lastRowFirstColumn="0" w:lastRowLastColumn="0"/>
              <w:rPr>
                <w:b/>
                <w:bCs/>
              </w:rPr>
            </w:pPr>
            <w:r>
              <w:rPr>
                <w:b/>
                <w:bCs/>
              </w:rPr>
              <w:t>Potential Emission Rate (tpy)</w:t>
            </w:r>
          </w:p>
        </w:tc>
      </w:tr>
      <w:tr w:rsidR="00233EAD" w14:paraId="3BF73613" w14:textId="77777777" w:rsidTr="00A363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1" w:type="dxa"/>
          </w:tcPr>
          <w:p w14:paraId="690B5611" w14:textId="0FE4B133" w:rsidR="00233EAD" w:rsidRDefault="00233EAD" w:rsidP="00427B75">
            <w:pPr>
              <w:pStyle w:val="Title"/>
              <w:jc w:val="both"/>
              <w:rPr>
                <w:b/>
                <w:bCs/>
              </w:rPr>
            </w:pPr>
            <w:r>
              <w:rPr>
                <w:b/>
                <w:bCs/>
              </w:rPr>
              <w:t>P</w:t>
            </w:r>
            <w:r w:rsidR="00D262A1">
              <w:rPr>
                <w:b/>
                <w:bCs/>
              </w:rPr>
              <w:t>articulate Matter (PM)</w:t>
            </w:r>
          </w:p>
        </w:tc>
        <w:tc>
          <w:tcPr>
            <w:tcW w:w="3082" w:type="dxa"/>
          </w:tcPr>
          <w:p w14:paraId="72F1A942" w14:textId="14DDB710" w:rsidR="00233EAD" w:rsidRDefault="001E2057" w:rsidP="00427B75">
            <w:pPr>
              <w:pStyle w:val="Title"/>
              <w:jc w:val="both"/>
              <w:cnfStyle w:val="000000100000" w:firstRow="0" w:lastRow="0" w:firstColumn="0" w:lastColumn="0" w:oddVBand="0" w:evenVBand="0" w:oddHBand="1" w:evenHBand="0" w:firstRowFirstColumn="0" w:firstRowLastColumn="0" w:lastRowFirstColumn="0" w:lastRowLastColumn="0"/>
              <w:rPr>
                <w:b w:val="0"/>
                <w:bCs w:val="0"/>
              </w:rPr>
            </w:pPr>
            <w:r>
              <w:rPr>
                <w:b w:val="0"/>
                <w:bCs w:val="0"/>
              </w:rPr>
              <w:t>12.03</w:t>
            </w:r>
          </w:p>
        </w:tc>
      </w:tr>
      <w:tr w:rsidR="00233EAD" w14:paraId="6313B5CB" w14:textId="77777777" w:rsidTr="00A363FB">
        <w:tc>
          <w:tcPr>
            <w:cnfStyle w:val="001000000000" w:firstRow="0" w:lastRow="0" w:firstColumn="1" w:lastColumn="0" w:oddVBand="0" w:evenVBand="0" w:oddHBand="0" w:evenHBand="0" w:firstRowFirstColumn="0" w:firstRowLastColumn="0" w:lastRowFirstColumn="0" w:lastRowLastColumn="0"/>
            <w:tcW w:w="4011" w:type="dxa"/>
          </w:tcPr>
          <w:p w14:paraId="15E23C5D" w14:textId="2A6FAC82" w:rsidR="00233EAD" w:rsidRDefault="00D262A1" w:rsidP="00427B75">
            <w:pPr>
              <w:pStyle w:val="Title"/>
              <w:jc w:val="both"/>
              <w:rPr>
                <w:b/>
                <w:bCs/>
              </w:rPr>
            </w:pPr>
            <w:r>
              <w:rPr>
                <w:b/>
                <w:bCs/>
              </w:rPr>
              <w:t>Sulfur Dioxide (SO</w:t>
            </w:r>
            <w:r w:rsidRPr="00D262A1">
              <w:rPr>
                <w:b/>
                <w:bCs/>
                <w:vertAlign w:val="subscript"/>
              </w:rPr>
              <w:t>2</w:t>
            </w:r>
            <w:r>
              <w:rPr>
                <w:b/>
                <w:bCs/>
              </w:rPr>
              <w:t>)</w:t>
            </w:r>
          </w:p>
        </w:tc>
        <w:tc>
          <w:tcPr>
            <w:tcW w:w="3082" w:type="dxa"/>
          </w:tcPr>
          <w:p w14:paraId="23327DE0" w14:textId="18C49843" w:rsidR="00233EAD" w:rsidRDefault="0029189F" w:rsidP="00427B75">
            <w:pPr>
              <w:pStyle w:val="Title"/>
              <w:jc w:val="both"/>
              <w:cnfStyle w:val="000000000000" w:firstRow="0" w:lastRow="0" w:firstColumn="0" w:lastColumn="0" w:oddVBand="0" w:evenVBand="0" w:oddHBand="0" w:evenHBand="0" w:firstRowFirstColumn="0" w:firstRowLastColumn="0" w:lastRowFirstColumn="0" w:lastRowLastColumn="0"/>
              <w:rPr>
                <w:b w:val="0"/>
                <w:bCs w:val="0"/>
              </w:rPr>
            </w:pPr>
            <w:r>
              <w:rPr>
                <w:b w:val="0"/>
                <w:bCs w:val="0"/>
              </w:rPr>
              <w:t>1.</w:t>
            </w:r>
            <w:r w:rsidR="001E2057">
              <w:rPr>
                <w:b w:val="0"/>
                <w:bCs w:val="0"/>
              </w:rPr>
              <w:t>32</w:t>
            </w:r>
          </w:p>
        </w:tc>
      </w:tr>
      <w:tr w:rsidR="00233EAD" w14:paraId="05A9265B" w14:textId="77777777" w:rsidTr="00A363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1" w:type="dxa"/>
          </w:tcPr>
          <w:p w14:paraId="0632082A" w14:textId="20C8C991" w:rsidR="00233EAD" w:rsidRDefault="00D262A1" w:rsidP="00427B75">
            <w:pPr>
              <w:pStyle w:val="Title"/>
              <w:jc w:val="both"/>
              <w:rPr>
                <w:b/>
                <w:bCs/>
              </w:rPr>
            </w:pPr>
            <w:r>
              <w:rPr>
                <w:b/>
                <w:bCs/>
              </w:rPr>
              <w:t>Nitrogen Oxides (NO</w:t>
            </w:r>
            <w:r w:rsidRPr="00D262A1">
              <w:rPr>
                <w:b/>
                <w:bCs/>
                <w:vertAlign w:val="subscript"/>
              </w:rPr>
              <w:t>X</w:t>
            </w:r>
            <w:r>
              <w:rPr>
                <w:b/>
                <w:bCs/>
              </w:rPr>
              <w:t>)</w:t>
            </w:r>
          </w:p>
        </w:tc>
        <w:tc>
          <w:tcPr>
            <w:tcW w:w="3082" w:type="dxa"/>
          </w:tcPr>
          <w:p w14:paraId="486FD773" w14:textId="55B136F2" w:rsidR="00233EAD" w:rsidRDefault="0029189F" w:rsidP="00427B75">
            <w:pPr>
              <w:pStyle w:val="Title"/>
              <w:jc w:val="both"/>
              <w:cnfStyle w:val="000000100000" w:firstRow="0" w:lastRow="0" w:firstColumn="0" w:lastColumn="0" w:oddVBand="0" w:evenVBand="0" w:oddHBand="1" w:evenHBand="0" w:firstRowFirstColumn="0" w:firstRowLastColumn="0" w:lastRowFirstColumn="0" w:lastRowLastColumn="0"/>
              <w:rPr>
                <w:b w:val="0"/>
                <w:bCs w:val="0"/>
              </w:rPr>
            </w:pPr>
            <w:r>
              <w:rPr>
                <w:b w:val="0"/>
                <w:bCs w:val="0"/>
              </w:rPr>
              <w:t>99.0</w:t>
            </w:r>
            <w:r w:rsidR="00A363FB" w:rsidRPr="00090241">
              <w:rPr>
                <w:b w:val="0"/>
                <w:bCs w:val="0"/>
                <w:vertAlign w:val="superscript"/>
              </w:rPr>
              <w:t>1</w:t>
            </w:r>
          </w:p>
        </w:tc>
      </w:tr>
      <w:tr w:rsidR="00233EAD" w14:paraId="56D9B2E8" w14:textId="77777777" w:rsidTr="00A363FB">
        <w:tc>
          <w:tcPr>
            <w:cnfStyle w:val="001000000000" w:firstRow="0" w:lastRow="0" w:firstColumn="1" w:lastColumn="0" w:oddVBand="0" w:evenVBand="0" w:oddHBand="0" w:evenHBand="0" w:firstRowFirstColumn="0" w:firstRowLastColumn="0" w:lastRowFirstColumn="0" w:lastRowLastColumn="0"/>
            <w:tcW w:w="4011" w:type="dxa"/>
          </w:tcPr>
          <w:p w14:paraId="453120CA" w14:textId="391E81C0" w:rsidR="00233EAD" w:rsidRDefault="00D262A1" w:rsidP="00427B75">
            <w:pPr>
              <w:pStyle w:val="Title"/>
              <w:jc w:val="both"/>
              <w:rPr>
                <w:b/>
                <w:bCs/>
              </w:rPr>
            </w:pPr>
            <w:r>
              <w:rPr>
                <w:b/>
                <w:bCs/>
              </w:rPr>
              <w:t>Carbon Monoxide (CO)</w:t>
            </w:r>
          </w:p>
        </w:tc>
        <w:tc>
          <w:tcPr>
            <w:tcW w:w="3082" w:type="dxa"/>
          </w:tcPr>
          <w:p w14:paraId="08C3B3E9" w14:textId="0A95B251" w:rsidR="00233EAD" w:rsidRDefault="002C26B3" w:rsidP="00427B75">
            <w:pPr>
              <w:pStyle w:val="Title"/>
              <w:jc w:val="both"/>
              <w:cnfStyle w:val="000000000000" w:firstRow="0" w:lastRow="0" w:firstColumn="0" w:lastColumn="0" w:oddVBand="0" w:evenVBand="0" w:oddHBand="0" w:evenHBand="0" w:firstRowFirstColumn="0" w:firstRowLastColumn="0" w:lastRowFirstColumn="0" w:lastRowLastColumn="0"/>
              <w:rPr>
                <w:b w:val="0"/>
                <w:bCs w:val="0"/>
              </w:rPr>
            </w:pPr>
            <w:r>
              <w:rPr>
                <w:b w:val="0"/>
                <w:bCs w:val="0"/>
              </w:rPr>
              <w:t>99.0</w:t>
            </w:r>
            <w:r w:rsidR="00A363FB" w:rsidRPr="00A363FB">
              <w:rPr>
                <w:b w:val="0"/>
                <w:bCs w:val="0"/>
                <w:vertAlign w:val="superscript"/>
              </w:rPr>
              <w:t>1</w:t>
            </w:r>
          </w:p>
        </w:tc>
      </w:tr>
      <w:tr w:rsidR="00D262A1" w14:paraId="62A759A9" w14:textId="77777777" w:rsidTr="00A363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1" w:type="dxa"/>
          </w:tcPr>
          <w:p w14:paraId="316296E2" w14:textId="1A23FD02" w:rsidR="00D262A1" w:rsidRDefault="00D262A1" w:rsidP="00427B75">
            <w:pPr>
              <w:pStyle w:val="Title"/>
              <w:jc w:val="both"/>
              <w:rPr>
                <w:b/>
                <w:bCs/>
              </w:rPr>
            </w:pPr>
            <w:r>
              <w:rPr>
                <w:b/>
                <w:bCs/>
              </w:rPr>
              <w:t>Volatile Organic Compounds (VOC)</w:t>
            </w:r>
          </w:p>
        </w:tc>
        <w:tc>
          <w:tcPr>
            <w:tcW w:w="3082" w:type="dxa"/>
          </w:tcPr>
          <w:p w14:paraId="2E433079" w14:textId="491205B3" w:rsidR="00D262A1" w:rsidRDefault="002C26B3" w:rsidP="00427B75">
            <w:pPr>
              <w:pStyle w:val="Title"/>
              <w:jc w:val="both"/>
              <w:cnfStyle w:val="000000100000" w:firstRow="0" w:lastRow="0" w:firstColumn="0" w:lastColumn="0" w:oddVBand="0" w:evenVBand="0" w:oddHBand="1" w:evenHBand="0" w:firstRowFirstColumn="0" w:firstRowLastColumn="0" w:lastRowFirstColumn="0" w:lastRowLastColumn="0"/>
              <w:rPr>
                <w:b w:val="0"/>
                <w:bCs w:val="0"/>
              </w:rPr>
            </w:pPr>
            <w:r>
              <w:rPr>
                <w:b w:val="0"/>
                <w:bCs w:val="0"/>
              </w:rPr>
              <w:t>12.</w:t>
            </w:r>
            <w:r w:rsidR="001E2057">
              <w:rPr>
                <w:b w:val="0"/>
                <w:bCs w:val="0"/>
              </w:rPr>
              <w:t>84</w:t>
            </w:r>
          </w:p>
        </w:tc>
      </w:tr>
      <w:tr w:rsidR="00D262A1" w14:paraId="45815181" w14:textId="77777777" w:rsidTr="00A363FB">
        <w:tc>
          <w:tcPr>
            <w:cnfStyle w:val="001000000000" w:firstRow="0" w:lastRow="0" w:firstColumn="1" w:lastColumn="0" w:oddVBand="0" w:evenVBand="0" w:oddHBand="0" w:evenHBand="0" w:firstRowFirstColumn="0" w:firstRowLastColumn="0" w:lastRowFirstColumn="0" w:lastRowLastColumn="0"/>
            <w:tcW w:w="4011" w:type="dxa"/>
          </w:tcPr>
          <w:p w14:paraId="5AA9E584" w14:textId="020C6EBB" w:rsidR="00D262A1" w:rsidRDefault="00D262A1" w:rsidP="00427B75">
            <w:pPr>
              <w:pStyle w:val="Title"/>
              <w:jc w:val="both"/>
              <w:rPr>
                <w:b/>
                <w:bCs/>
              </w:rPr>
            </w:pPr>
            <w:r>
              <w:rPr>
                <w:b/>
                <w:bCs/>
              </w:rPr>
              <w:t>Hazardous Air Pollutants (HAP), Total</w:t>
            </w:r>
          </w:p>
        </w:tc>
        <w:tc>
          <w:tcPr>
            <w:tcW w:w="3082" w:type="dxa"/>
          </w:tcPr>
          <w:p w14:paraId="42D6CCF3" w14:textId="5371892E" w:rsidR="00D262A1" w:rsidRDefault="002C26B3" w:rsidP="00427B75">
            <w:pPr>
              <w:pStyle w:val="Title"/>
              <w:jc w:val="both"/>
              <w:cnfStyle w:val="000000000000" w:firstRow="0" w:lastRow="0" w:firstColumn="0" w:lastColumn="0" w:oddVBand="0" w:evenVBand="0" w:oddHBand="0" w:evenHBand="0" w:firstRowFirstColumn="0" w:firstRowLastColumn="0" w:lastRowFirstColumn="0" w:lastRowLastColumn="0"/>
              <w:rPr>
                <w:b w:val="0"/>
                <w:bCs w:val="0"/>
              </w:rPr>
            </w:pPr>
            <w:r>
              <w:rPr>
                <w:b w:val="0"/>
                <w:bCs w:val="0"/>
              </w:rPr>
              <w:t>2.</w:t>
            </w:r>
            <w:r w:rsidR="00937D4F">
              <w:rPr>
                <w:b w:val="0"/>
                <w:bCs w:val="0"/>
              </w:rPr>
              <w:t>61</w:t>
            </w:r>
          </w:p>
        </w:tc>
      </w:tr>
    </w:tbl>
    <w:p w14:paraId="59ED3617" w14:textId="31C858F3" w:rsidR="00233EAD" w:rsidRPr="00850FE1" w:rsidRDefault="00090241" w:rsidP="00427B75">
      <w:pPr>
        <w:pStyle w:val="Title"/>
        <w:jc w:val="both"/>
        <w:rPr>
          <w:b w:val="0"/>
          <w:bCs w:val="0"/>
        </w:rPr>
      </w:pPr>
      <w:r w:rsidRPr="00090241">
        <w:rPr>
          <w:b w:val="0"/>
          <w:bCs w:val="0"/>
          <w:vertAlign w:val="superscript"/>
        </w:rPr>
        <w:t>1</w:t>
      </w:r>
      <w:r>
        <w:rPr>
          <w:b w:val="0"/>
          <w:bCs w:val="0"/>
        </w:rPr>
        <w:t>Site-wide emission limits taken by the facility to remain below the Title V threshold.</w:t>
      </w:r>
    </w:p>
    <w:p w14:paraId="10D104DB" w14:textId="77777777" w:rsidR="001D7E96" w:rsidRDefault="001D7E96" w:rsidP="001D7E96">
      <w:pPr>
        <w:pStyle w:val="Title"/>
        <w:jc w:val="left"/>
        <w:rPr>
          <w:b w:val="0"/>
          <w:bCs w:val="0"/>
        </w:rPr>
      </w:pPr>
    </w:p>
    <w:p w14:paraId="3DB3F9EF" w14:textId="77777777" w:rsidR="001D7E96" w:rsidRDefault="001D7E96" w:rsidP="001D7E96">
      <w:pPr>
        <w:pStyle w:val="Title"/>
        <w:jc w:val="left"/>
        <w:rPr>
          <w:u w:val="single"/>
        </w:rPr>
      </w:pPr>
      <w:r>
        <w:rPr>
          <w:rFonts w:ascii="Tms Rmn" w:hAnsi="Tms Rmn" w:cs="Tms Rmn"/>
          <w:color w:val="000000"/>
          <w:u w:val="single"/>
        </w:rPr>
        <w:t>APPLICABLE/PROPOSED PERMIT LIMITATIONS</w:t>
      </w:r>
    </w:p>
    <w:p w14:paraId="3C881E64" w14:textId="77777777" w:rsidR="001D7E96" w:rsidRDefault="001D7E96" w:rsidP="001D7E96">
      <w:pPr>
        <w:pStyle w:val="Title"/>
        <w:jc w:val="both"/>
        <w:rPr>
          <w:b w:val="0"/>
          <w:bCs w:val="0"/>
          <w:u w:val="single"/>
        </w:rPr>
      </w:pPr>
    </w:p>
    <w:tbl>
      <w:tblPr>
        <w:tblStyle w:val="TableGrid"/>
        <w:tblW w:w="9812" w:type="dxa"/>
        <w:tblLook w:val="00A0" w:firstRow="1" w:lastRow="0" w:firstColumn="1" w:lastColumn="0" w:noHBand="0" w:noVBand="0"/>
      </w:tblPr>
      <w:tblGrid>
        <w:gridCol w:w="1430"/>
        <w:gridCol w:w="2093"/>
        <w:gridCol w:w="1139"/>
        <w:gridCol w:w="2611"/>
        <w:gridCol w:w="2539"/>
      </w:tblGrid>
      <w:tr w:rsidR="006F514F" w:rsidRPr="00571754" w14:paraId="3DF0F8CC" w14:textId="429F4879" w:rsidTr="00571754">
        <w:trPr>
          <w:tblHeader/>
        </w:trPr>
        <w:tc>
          <w:tcPr>
            <w:tcW w:w="1430" w:type="dxa"/>
            <w:shd w:val="clear" w:color="auto" w:fill="BFBFBF"/>
            <w:vAlign w:val="center"/>
            <w:hideMark/>
          </w:tcPr>
          <w:p w14:paraId="64CB7B17" w14:textId="77777777" w:rsidR="006F514F" w:rsidRPr="00571754" w:rsidRDefault="006F514F" w:rsidP="005076D5">
            <w:pPr>
              <w:spacing w:before="60" w:after="60"/>
              <w:jc w:val="center"/>
              <w:rPr>
                <w:b/>
                <w:bCs/>
                <w:sz w:val="20"/>
                <w:szCs w:val="20"/>
              </w:rPr>
            </w:pPr>
            <w:r w:rsidRPr="00571754">
              <w:rPr>
                <w:b/>
                <w:bCs/>
                <w:sz w:val="20"/>
                <w:szCs w:val="20"/>
              </w:rPr>
              <w:t>Emission Point</w:t>
            </w:r>
          </w:p>
        </w:tc>
        <w:tc>
          <w:tcPr>
            <w:tcW w:w="2093" w:type="dxa"/>
            <w:shd w:val="clear" w:color="auto" w:fill="BFBFBF"/>
            <w:vAlign w:val="center"/>
            <w:hideMark/>
          </w:tcPr>
          <w:p w14:paraId="6D3E20A8" w14:textId="77777777" w:rsidR="006F514F" w:rsidRPr="00571754" w:rsidRDefault="006F514F" w:rsidP="005076D5">
            <w:pPr>
              <w:spacing w:before="60" w:after="60"/>
              <w:jc w:val="center"/>
              <w:rPr>
                <w:b/>
                <w:bCs/>
                <w:sz w:val="20"/>
                <w:szCs w:val="20"/>
              </w:rPr>
            </w:pPr>
            <w:r w:rsidRPr="00571754">
              <w:rPr>
                <w:b/>
                <w:bCs/>
                <w:sz w:val="20"/>
                <w:szCs w:val="20"/>
              </w:rPr>
              <w:t>Applicable Requirement</w:t>
            </w:r>
          </w:p>
        </w:tc>
        <w:tc>
          <w:tcPr>
            <w:tcW w:w="1139" w:type="dxa"/>
            <w:shd w:val="clear" w:color="auto" w:fill="BFBFBF"/>
            <w:vAlign w:val="center"/>
            <w:hideMark/>
          </w:tcPr>
          <w:p w14:paraId="23C7829D" w14:textId="77777777" w:rsidR="006F514F" w:rsidRPr="00571754" w:rsidRDefault="006F514F" w:rsidP="005076D5">
            <w:pPr>
              <w:spacing w:before="60" w:after="60"/>
              <w:jc w:val="center"/>
              <w:rPr>
                <w:b/>
                <w:bCs/>
                <w:sz w:val="20"/>
                <w:szCs w:val="20"/>
              </w:rPr>
            </w:pPr>
            <w:r w:rsidRPr="00571754">
              <w:rPr>
                <w:b/>
                <w:bCs/>
                <w:sz w:val="20"/>
                <w:szCs w:val="20"/>
              </w:rPr>
              <w:t>Pollutant/ Parameter</w:t>
            </w:r>
          </w:p>
        </w:tc>
        <w:tc>
          <w:tcPr>
            <w:tcW w:w="2611" w:type="dxa"/>
            <w:shd w:val="clear" w:color="auto" w:fill="BFBFBF"/>
            <w:vAlign w:val="center"/>
            <w:hideMark/>
          </w:tcPr>
          <w:p w14:paraId="37EA98B4" w14:textId="77777777" w:rsidR="006F514F" w:rsidRPr="00571754" w:rsidRDefault="006F514F" w:rsidP="005076D5">
            <w:pPr>
              <w:spacing w:before="60" w:after="60"/>
              <w:jc w:val="center"/>
              <w:rPr>
                <w:b/>
                <w:bCs/>
                <w:sz w:val="20"/>
                <w:szCs w:val="20"/>
              </w:rPr>
            </w:pPr>
            <w:r w:rsidRPr="00571754">
              <w:rPr>
                <w:b/>
                <w:bCs/>
                <w:sz w:val="20"/>
                <w:szCs w:val="20"/>
              </w:rPr>
              <w:t>Limitation/Standard</w:t>
            </w:r>
          </w:p>
        </w:tc>
        <w:tc>
          <w:tcPr>
            <w:tcW w:w="2539" w:type="dxa"/>
            <w:shd w:val="clear" w:color="auto" w:fill="BFBFBF"/>
            <w:vAlign w:val="center"/>
          </w:tcPr>
          <w:p w14:paraId="73AC31E1" w14:textId="01F3BD2B" w:rsidR="006F514F" w:rsidRPr="00571754" w:rsidRDefault="006F514F" w:rsidP="006F514F">
            <w:pPr>
              <w:spacing w:before="60" w:after="60"/>
              <w:jc w:val="center"/>
              <w:rPr>
                <w:b/>
                <w:bCs/>
                <w:sz w:val="20"/>
                <w:szCs w:val="20"/>
              </w:rPr>
            </w:pPr>
            <w:r w:rsidRPr="00571754">
              <w:rPr>
                <w:b/>
                <w:bCs/>
                <w:sz w:val="20"/>
                <w:szCs w:val="20"/>
              </w:rPr>
              <w:t>Monitoring/Recordkeeping</w:t>
            </w:r>
          </w:p>
        </w:tc>
      </w:tr>
      <w:tr w:rsidR="0022680E" w:rsidRPr="00571754" w14:paraId="01C03ECC" w14:textId="11B5F473" w:rsidTr="00571754">
        <w:tc>
          <w:tcPr>
            <w:tcW w:w="1430" w:type="dxa"/>
            <w:vMerge w:val="restart"/>
            <w:vAlign w:val="center"/>
          </w:tcPr>
          <w:p w14:paraId="608587EB" w14:textId="4884EE92" w:rsidR="0022680E" w:rsidRPr="00571754" w:rsidRDefault="0022680E" w:rsidP="005076D5">
            <w:pPr>
              <w:spacing w:before="60" w:after="60"/>
              <w:jc w:val="center"/>
              <w:rPr>
                <w:sz w:val="20"/>
                <w:szCs w:val="20"/>
              </w:rPr>
            </w:pPr>
            <w:r w:rsidRPr="00571754">
              <w:rPr>
                <w:sz w:val="20"/>
                <w:szCs w:val="20"/>
              </w:rPr>
              <w:t>Facility-Wide</w:t>
            </w:r>
          </w:p>
        </w:tc>
        <w:tc>
          <w:tcPr>
            <w:tcW w:w="2093" w:type="dxa"/>
            <w:vAlign w:val="center"/>
          </w:tcPr>
          <w:p w14:paraId="7DBC2C17" w14:textId="77777777" w:rsidR="0022680E" w:rsidRPr="00571754" w:rsidRDefault="0022680E" w:rsidP="005076D5">
            <w:pPr>
              <w:adjustRightInd w:val="0"/>
              <w:spacing w:before="60" w:after="60"/>
              <w:rPr>
                <w:sz w:val="20"/>
                <w:szCs w:val="20"/>
              </w:rPr>
            </w:pPr>
            <w:r w:rsidRPr="00571754">
              <w:rPr>
                <w:sz w:val="20"/>
                <w:szCs w:val="20"/>
              </w:rPr>
              <w:t>11 Miss. Admin. Code Pt. 2, R. 1.3.A.</w:t>
            </w:r>
          </w:p>
        </w:tc>
        <w:tc>
          <w:tcPr>
            <w:tcW w:w="1139" w:type="dxa"/>
            <w:vMerge w:val="restart"/>
            <w:vAlign w:val="center"/>
          </w:tcPr>
          <w:p w14:paraId="5BF4423E" w14:textId="77777777" w:rsidR="0022680E" w:rsidRPr="00571754" w:rsidRDefault="0022680E" w:rsidP="005076D5">
            <w:pPr>
              <w:spacing w:before="60" w:after="60"/>
              <w:jc w:val="center"/>
              <w:rPr>
                <w:sz w:val="20"/>
                <w:szCs w:val="20"/>
              </w:rPr>
            </w:pPr>
            <w:r w:rsidRPr="00571754">
              <w:rPr>
                <w:sz w:val="20"/>
                <w:szCs w:val="20"/>
              </w:rPr>
              <w:t>Opacity</w:t>
            </w:r>
          </w:p>
        </w:tc>
        <w:tc>
          <w:tcPr>
            <w:tcW w:w="2611" w:type="dxa"/>
            <w:vMerge w:val="restart"/>
            <w:vAlign w:val="center"/>
          </w:tcPr>
          <w:p w14:paraId="449E2362" w14:textId="77777777" w:rsidR="0022680E" w:rsidRPr="00571754" w:rsidRDefault="0022680E" w:rsidP="005076D5">
            <w:pPr>
              <w:spacing w:before="60" w:after="60"/>
              <w:rPr>
                <w:sz w:val="20"/>
                <w:szCs w:val="20"/>
              </w:rPr>
            </w:pPr>
            <w:r w:rsidRPr="00571754">
              <w:rPr>
                <w:sz w:val="20"/>
                <w:szCs w:val="20"/>
              </w:rPr>
              <w:t>≤ 40%</w:t>
            </w:r>
          </w:p>
        </w:tc>
        <w:tc>
          <w:tcPr>
            <w:tcW w:w="2539" w:type="dxa"/>
            <w:vMerge w:val="restart"/>
            <w:vAlign w:val="center"/>
          </w:tcPr>
          <w:p w14:paraId="0C6F998D" w14:textId="21164613" w:rsidR="0022680E" w:rsidRPr="00571754" w:rsidRDefault="0022680E" w:rsidP="00890B5A">
            <w:pPr>
              <w:spacing w:before="60" w:after="60"/>
              <w:rPr>
                <w:sz w:val="20"/>
                <w:szCs w:val="20"/>
              </w:rPr>
            </w:pPr>
            <w:r w:rsidRPr="00571754">
              <w:rPr>
                <w:sz w:val="20"/>
                <w:szCs w:val="20"/>
              </w:rPr>
              <w:t>Method 9 and Method 22</w:t>
            </w:r>
            <w:r w:rsidR="00CC6DF2" w:rsidRPr="00571754">
              <w:rPr>
                <w:sz w:val="20"/>
                <w:szCs w:val="20"/>
              </w:rPr>
              <w:t xml:space="preserve"> and periods of combustion research</w:t>
            </w:r>
          </w:p>
        </w:tc>
      </w:tr>
      <w:tr w:rsidR="0022680E" w:rsidRPr="00571754" w14:paraId="61AC3805" w14:textId="3F0334E7" w:rsidTr="00571754">
        <w:tc>
          <w:tcPr>
            <w:tcW w:w="1430" w:type="dxa"/>
            <w:vMerge/>
            <w:vAlign w:val="center"/>
          </w:tcPr>
          <w:p w14:paraId="4735C391" w14:textId="77777777" w:rsidR="0022680E" w:rsidRPr="00571754" w:rsidRDefault="0022680E" w:rsidP="005076D5">
            <w:pPr>
              <w:spacing w:before="60" w:after="60"/>
              <w:jc w:val="center"/>
              <w:rPr>
                <w:sz w:val="20"/>
                <w:szCs w:val="20"/>
              </w:rPr>
            </w:pPr>
          </w:p>
        </w:tc>
        <w:tc>
          <w:tcPr>
            <w:tcW w:w="2093" w:type="dxa"/>
            <w:vAlign w:val="center"/>
          </w:tcPr>
          <w:p w14:paraId="749C7900" w14:textId="77777777" w:rsidR="0022680E" w:rsidRPr="00571754" w:rsidRDefault="0022680E" w:rsidP="005076D5">
            <w:pPr>
              <w:adjustRightInd w:val="0"/>
              <w:spacing w:before="60" w:after="60"/>
              <w:rPr>
                <w:sz w:val="20"/>
                <w:szCs w:val="20"/>
              </w:rPr>
            </w:pPr>
            <w:r w:rsidRPr="00571754">
              <w:rPr>
                <w:sz w:val="20"/>
                <w:szCs w:val="20"/>
              </w:rPr>
              <w:t>11 Miss. Admin. Code Pt. 2, R. 1.3.B.</w:t>
            </w:r>
          </w:p>
        </w:tc>
        <w:tc>
          <w:tcPr>
            <w:tcW w:w="1139" w:type="dxa"/>
            <w:vMerge/>
            <w:vAlign w:val="center"/>
          </w:tcPr>
          <w:p w14:paraId="38765835" w14:textId="77777777" w:rsidR="0022680E" w:rsidRPr="00571754" w:rsidRDefault="0022680E" w:rsidP="005076D5">
            <w:pPr>
              <w:spacing w:before="60" w:after="60"/>
              <w:jc w:val="center"/>
              <w:rPr>
                <w:sz w:val="20"/>
                <w:szCs w:val="20"/>
              </w:rPr>
            </w:pPr>
          </w:p>
        </w:tc>
        <w:tc>
          <w:tcPr>
            <w:tcW w:w="2611" w:type="dxa"/>
            <w:vMerge/>
            <w:vAlign w:val="center"/>
          </w:tcPr>
          <w:p w14:paraId="2F22B5FB" w14:textId="77777777" w:rsidR="0022680E" w:rsidRPr="00571754" w:rsidRDefault="0022680E" w:rsidP="005076D5">
            <w:pPr>
              <w:spacing w:before="60" w:after="60"/>
              <w:rPr>
                <w:sz w:val="20"/>
                <w:szCs w:val="20"/>
              </w:rPr>
            </w:pPr>
          </w:p>
        </w:tc>
        <w:tc>
          <w:tcPr>
            <w:tcW w:w="2539" w:type="dxa"/>
            <w:vMerge/>
            <w:vAlign w:val="center"/>
          </w:tcPr>
          <w:p w14:paraId="791158C2" w14:textId="77777777" w:rsidR="0022680E" w:rsidRPr="00571754" w:rsidRDefault="0022680E" w:rsidP="00890B5A">
            <w:pPr>
              <w:spacing w:before="60" w:after="60"/>
              <w:rPr>
                <w:sz w:val="20"/>
                <w:szCs w:val="20"/>
              </w:rPr>
            </w:pPr>
          </w:p>
        </w:tc>
      </w:tr>
      <w:tr w:rsidR="0022680E" w:rsidRPr="00571754" w14:paraId="7B5A9FE5" w14:textId="7832CE04" w:rsidTr="00571754">
        <w:tc>
          <w:tcPr>
            <w:tcW w:w="1430" w:type="dxa"/>
            <w:vMerge/>
            <w:vAlign w:val="center"/>
          </w:tcPr>
          <w:p w14:paraId="26EE0FDA" w14:textId="77777777" w:rsidR="0022680E" w:rsidRPr="00571754" w:rsidRDefault="0022680E" w:rsidP="005076D5">
            <w:pPr>
              <w:spacing w:before="60" w:after="60"/>
              <w:jc w:val="center"/>
              <w:rPr>
                <w:sz w:val="20"/>
                <w:szCs w:val="20"/>
              </w:rPr>
            </w:pPr>
          </w:p>
        </w:tc>
        <w:tc>
          <w:tcPr>
            <w:tcW w:w="2093" w:type="dxa"/>
            <w:vMerge w:val="restart"/>
            <w:vAlign w:val="center"/>
          </w:tcPr>
          <w:p w14:paraId="15E2F796" w14:textId="77777777" w:rsidR="0022680E" w:rsidRPr="00571754" w:rsidRDefault="0022680E" w:rsidP="005076D5">
            <w:pPr>
              <w:adjustRightInd w:val="0"/>
              <w:spacing w:before="60" w:after="60"/>
              <w:rPr>
                <w:sz w:val="20"/>
                <w:szCs w:val="20"/>
              </w:rPr>
            </w:pPr>
            <w:r w:rsidRPr="00571754">
              <w:rPr>
                <w:sz w:val="20"/>
                <w:szCs w:val="20"/>
              </w:rPr>
              <w:t>11 Miss. Admin, Code Pt. 2, R. 2.2.B(10).</w:t>
            </w:r>
          </w:p>
          <w:p w14:paraId="3F4103B8" w14:textId="77777777" w:rsidR="0022680E" w:rsidRPr="00571754" w:rsidRDefault="0022680E" w:rsidP="005076D5">
            <w:pPr>
              <w:adjustRightInd w:val="0"/>
              <w:spacing w:before="60" w:after="60"/>
              <w:rPr>
                <w:sz w:val="20"/>
                <w:szCs w:val="20"/>
              </w:rPr>
            </w:pPr>
            <w:r w:rsidRPr="00571754">
              <w:rPr>
                <w:sz w:val="20"/>
                <w:szCs w:val="20"/>
              </w:rPr>
              <w:t>(Title V Avoidance Limits)</w:t>
            </w:r>
          </w:p>
        </w:tc>
        <w:tc>
          <w:tcPr>
            <w:tcW w:w="1139" w:type="dxa"/>
            <w:vAlign w:val="center"/>
          </w:tcPr>
          <w:p w14:paraId="5D043A8F" w14:textId="77777777" w:rsidR="0022680E" w:rsidRPr="00571754" w:rsidRDefault="0022680E" w:rsidP="005076D5">
            <w:pPr>
              <w:spacing w:before="60" w:after="60"/>
              <w:jc w:val="center"/>
              <w:rPr>
                <w:sz w:val="20"/>
                <w:szCs w:val="20"/>
              </w:rPr>
            </w:pPr>
            <w:r w:rsidRPr="00571754">
              <w:rPr>
                <w:sz w:val="20"/>
                <w:szCs w:val="20"/>
              </w:rPr>
              <w:t>NO</w:t>
            </w:r>
            <w:r w:rsidRPr="00571754">
              <w:rPr>
                <w:sz w:val="20"/>
                <w:szCs w:val="20"/>
                <w:vertAlign w:val="subscript"/>
              </w:rPr>
              <w:t>X</w:t>
            </w:r>
          </w:p>
        </w:tc>
        <w:tc>
          <w:tcPr>
            <w:tcW w:w="2611" w:type="dxa"/>
            <w:vAlign w:val="center"/>
          </w:tcPr>
          <w:p w14:paraId="064760D6" w14:textId="77777777" w:rsidR="0022680E" w:rsidRPr="00571754" w:rsidRDefault="0022680E" w:rsidP="005076D5">
            <w:pPr>
              <w:spacing w:before="60" w:after="60"/>
              <w:rPr>
                <w:sz w:val="20"/>
                <w:szCs w:val="20"/>
              </w:rPr>
            </w:pPr>
            <w:r w:rsidRPr="00571754">
              <w:rPr>
                <w:sz w:val="20"/>
                <w:szCs w:val="20"/>
              </w:rPr>
              <w:t>≤ 99.0 tpy (rolling 12-month total)</w:t>
            </w:r>
          </w:p>
        </w:tc>
        <w:tc>
          <w:tcPr>
            <w:tcW w:w="2539" w:type="dxa"/>
            <w:vMerge w:val="restart"/>
            <w:vAlign w:val="center"/>
          </w:tcPr>
          <w:p w14:paraId="5016731A" w14:textId="4C834DA2" w:rsidR="0022680E" w:rsidRPr="00571754" w:rsidRDefault="0022680E" w:rsidP="00890B5A">
            <w:pPr>
              <w:spacing w:before="60" w:after="60"/>
              <w:rPr>
                <w:sz w:val="20"/>
                <w:szCs w:val="20"/>
              </w:rPr>
            </w:pPr>
            <w:r w:rsidRPr="00571754">
              <w:rPr>
                <w:sz w:val="20"/>
                <w:szCs w:val="20"/>
              </w:rPr>
              <w:t>Calculate and record emissions and fuel combustion</w:t>
            </w:r>
          </w:p>
        </w:tc>
      </w:tr>
      <w:tr w:rsidR="0022680E" w:rsidRPr="00571754" w14:paraId="37E516FD" w14:textId="5B4D7D19" w:rsidTr="00571754">
        <w:tc>
          <w:tcPr>
            <w:tcW w:w="1430" w:type="dxa"/>
            <w:vMerge/>
            <w:vAlign w:val="center"/>
          </w:tcPr>
          <w:p w14:paraId="5EB51032" w14:textId="77777777" w:rsidR="0022680E" w:rsidRPr="00571754" w:rsidRDefault="0022680E" w:rsidP="005076D5">
            <w:pPr>
              <w:spacing w:before="60" w:after="60"/>
              <w:jc w:val="center"/>
              <w:rPr>
                <w:sz w:val="20"/>
                <w:szCs w:val="20"/>
              </w:rPr>
            </w:pPr>
          </w:p>
        </w:tc>
        <w:tc>
          <w:tcPr>
            <w:tcW w:w="2093" w:type="dxa"/>
            <w:vMerge/>
            <w:vAlign w:val="center"/>
          </w:tcPr>
          <w:p w14:paraId="633B3FAE" w14:textId="77777777" w:rsidR="0022680E" w:rsidRPr="00571754" w:rsidRDefault="0022680E" w:rsidP="005076D5">
            <w:pPr>
              <w:adjustRightInd w:val="0"/>
              <w:spacing w:before="60" w:after="60"/>
              <w:rPr>
                <w:sz w:val="20"/>
                <w:szCs w:val="20"/>
              </w:rPr>
            </w:pPr>
          </w:p>
        </w:tc>
        <w:tc>
          <w:tcPr>
            <w:tcW w:w="1139" w:type="dxa"/>
            <w:vAlign w:val="center"/>
          </w:tcPr>
          <w:p w14:paraId="6879681B" w14:textId="77777777" w:rsidR="0022680E" w:rsidRPr="00571754" w:rsidRDefault="0022680E" w:rsidP="005076D5">
            <w:pPr>
              <w:spacing w:before="60" w:after="60"/>
              <w:jc w:val="center"/>
              <w:rPr>
                <w:sz w:val="20"/>
                <w:szCs w:val="20"/>
              </w:rPr>
            </w:pPr>
            <w:r w:rsidRPr="00571754">
              <w:rPr>
                <w:sz w:val="20"/>
                <w:szCs w:val="20"/>
              </w:rPr>
              <w:t>CO</w:t>
            </w:r>
          </w:p>
        </w:tc>
        <w:tc>
          <w:tcPr>
            <w:tcW w:w="2611" w:type="dxa"/>
            <w:vAlign w:val="center"/>
          </w:tcPr>
          <w:p w14:paraId="149BCBC6" w14:textId="77777777" w:rsidR="0022680E" w:rsidRPr="00571754" w:rsidRDefault="0022680E" w:rsidP="005076D5">
            <w:pPr>
              <w:spacing w:before="60" w:after="60"/>
              <w:rPr>
                <w:sz w:val="20"/>
                <w:szCs w:val="20"/>
              </w:rPr>
            </w:pPr>
            <w:r w:rsidRPr="00571754">
              <w:rPr>
                <w:sz w:val="20"/>
                <w:szCs w:val="20"/>
              </w:rPr>
              <w:t>≤ 99.0 tpy (rolling 12-month total)</w:t>
            </w:r>
          </w:p>
        </w:tc>
        <w:tc>
          <w:tcPr>
            <w:tcW w:w="2539" w:type="dxa"/>
            <w:vMerge/>
            <w:vAlign w:val="center"/>
          </w:tcPr>
          <w:p w14:paraId="46C51208" w14:textId="77777777" w:rsidR="0022680E" w:rsidRPr="00571754" w:rsidRDefault="0022680E" w:rsidP="00890B5A">
            <w:pPr>
              <w:spacing w:before="60" w:after="60"/>
              <w:rPr>
                <w:sz w:val="20"/>
                <w:szCs w:val="20"/>
              </w:rPr>
            </w:pPr>
          </w:p>
        </w:tc>
      </w:tr>
      <w:tr w:rsidR="00242A49" w:rsidRPr="00571754" w14:paraId="4EF2D7D7" w14:textId="0C2200CF" w:rsidTr="00571754">
        <w:tc>
          <w:tcPr>
            <w:tcW w:w="1430" w:type="dxa"/>
            <w:vAlign w:val="center"/>
          </w:tcPr>
          <w:p w14:paraId="5276197C" w14:textId="368E8A5D" w:rsidR="00242A49" w:rsidRPr="00571754" w:rsidRDefault="00242A49" w:rsidP="005076D5">
            <w:pPr>
              <w:spacing w:after="60"/>
              <w:jc w:val="center"/>
              <w:rPr>
                <w:sz w:val="20"/>
                <w:szCs w:val="20"/>
              </w:rPr>
            </w:pPr>
            <w:r w:rsidRPr="00571754">
              <w:rPr>
                <w:sz w:val="20"/>
                <w:szCs w:val="20"/>
              </w:rPr>
              <w:t>Fuel Burning Installations that Generates Heat or Power by Indirect Heat Tran</w:t>
            </w:r>
            <w:r w:rsidR="00571754">
              <w:rPr>
                <w:sz w:val="20"/>
                <w:szCs w:val="20"/>
              </w:rPr>
              <w:t>s</w:t>
            </w:r>
            <w:r w:rsidRPr="00571754">
              <w:rPr>
                <w:sz w:val="20"/>
                <w:szCs w:val="20"/>
              </w:rPr>
              <w:t>fer</w:t>
            </w:r>
          </w:p>
        </w:tc>
        <w:tc>
          <w:tcPr>
            <w:tcW w:w="2093" w:type="dxa"/>
            <w:vAlign w:val="center"/>
          </w:tcPr>
          <w:p w14:paraId="17BC8832" w14:textId="77777777" w:rsidR="00242A49" w:rsidRPr="00571754" w:rsidRDefault="00242A49" w:rsidP="005076D5">
            <w:pPr>
              <w:adjustRightInd w:val="0"/>
              <w:spacing w:before="60" w:after="60"/>
              <w:rPr>
                <w:sz w:val="20"/>
                <w:szCs w:val="20"/>
              </w:rPr>
            </w:pPr>
            <w:r w:rsidRPr="00571754">
              <w:rPr>
                <w:sz w:val="20"/>
                <w:szCs w:val="20"/>
              </w:rPr>
              <w:t>11 Miss. Admin. Code Pt. 2, R. 1.4.A.(1).</w:t>
            </w:r>
          </w:p>
        </w:tc>
        <w:tc>
          <w:tcPr>
            <w:tcW w:w="1139" w:type="dxa"/>
            <w:vAlign w:val="center"/>
          </w:tcPr>
          <w:p w14:paraId="4065E9C1" w14:textId="77777777" w:rsidR="00242A49" w:rsidRPr="00571754" w:rsidRDefault="00242A49" w:rsidP="005076D5">
            <w:pPr>
              <w:spacing w:before="60" w:after="60"/>
              <w:jc w:val="center"/>
              <w:rPr>
                <w:sz w:val="20"/>
                <w:szCs w:val="20"/>
              </w:rPr>
            </w:pPr>
            <w:r w:rsidRPr="00571754">
              <w:rPr>
                <w:sz w:val="20"/>
                <w:szCs w:val="20"/>
              </w:rPr>
              <w:t>SO</w:t>
            </w:r>
            <w:r w:rsidRPr="00571754">
              <w:rPr>
                <w:sz w:val="20"/>
                <w:szCs w:val="20"/>
                <w:vertAlign w:val="subscript"/>
              </w:rPr>
              <w:t>2</w:t>
            </w:r>
          </w:p>
        </w:tc>
        <w:tc>
          <w:tcPr>
            <w:tcW w:w="2611" w:type="dxa"/>
            <w:vAlign w:val="center"/>
          </w:tcPr>
          <w:p w14:paraId="20C55FA4" w14:textId="77777777" w:rsidR="00242A49" w:rsidRPr="00571754" w:rsidRDefault="00242A49" w:rsidP="005076D5">
            <w:pPr>
              <w:spacing w:before="60" w:after="60"/>
              <w:rPr>
                <w:sz w:val="20"/>
                <w:szCs w:val="20"/>
              </w:rPr>
            </w:pPr>
            <w:r w:rsidRPr="00571754">
              <w:rPr>
                <w:sz w:val="20"/>
                <w:szCs w:val="20"/>
              </w:rPr>
              <w:t>≤ 4.8 lb/MMBTU Heat Input</w:t>
            </w:r>
          </w:p>
        </w:tc>
        <w:tc>
          <w:tcPr>
            <w:tcW w:w="2539" w:type="dxa"/>
            <w:vMerge w:val="restart"/>
            <w:vAlign w:val="center"/>
          </w:tcPr>
          <w:p w14:paraId="0F85B4B5" w14:textId="0ACB4216" w:rsidR="00242A49" w:rsidRPr="00571754" w:rsidRDefault="00242A49" w:rsidP="00890B5A">
            <w:pPr>
              <w:spacing w:before="60" w:after="60"/>
              <w:rPr>
                <w:sz w:val="20"/>
                <w:szCs w:val="20"/>
              </w:rPr>
            </w:pPr>
            <w:r w:rsidRPr="00571754">
              <w:rPr>
                <w:sz w:val="20"/>
                <w:szCs w:val="20"/>
              </w:rPr>
              <w:t>Large margin of compliance (no monitoring or recordkeeping incorporated into the permit)</w:t>
            </w:r>
          </w:p>
        </w:tc>
      </w:tr>
      <w:tr w:rsidR="00242A49" w:rsidRPr="00571754" w14:paraId="41A4F538" w14:textId="5F13E273" w:rsidTr="00571754">
        <w:tc>
          <w:tcPr>
            <w:tcW w:w="1430" w:type="dxa"/>
            <w:vAlign w:val="center"/>
          </w:tcPr>
          <w:p w14:paraId="78795C67" w14:textId="7C7AE7F2" w:rsidR="00242A49" w:rsidRPr="00571754" w:rsidRDefault="00242A49" w:rsidP="005076D5">
            <w:pPr>
              <w:spacing w:after="60"/>
              <w:jc w:val="center"/>
              <w:rPr>
                <w:sz w:val="20"/>
                <w:szCs w:val="20"/>
              </w:rPr>
            </w:pPr>
            <w:r w:rsidRPr="00571754">
              <w:rPr>
                <w:sz w:val="20"/>
                <w:szCs w:val="20"/>
              </w:rPr>
              <w:t>Fossil Fuel Burning Installations Less than 10 MMBTU/hr</w:t>
            </w:r>
          </w:p>
        </w:tc>
        <w:tc>
          <w:tcPr>
            <w:tcW w:w="2093" w:type="dxa"/>
            <w:vAlign w:val="center"/>
          </w:tcPr>
          <w:p w14:paraId="62DAD207" w14:textId="77777777" w:rsidR="00242A49" w:rsidRPr="00571754" w:rsidRDefault="00242A49" w:rsidP="005076D5">
            <w:pPr>
              <w:adjustRightInd w:val="0"/>
              <w:spacing w:before="60" w:after="60"/>
              <w:rPr>
                <w:sz w:val="20"/>
                <w:szCs w:val="20"/>
              </w:rPr>
            </w:pPr>
            <w:r w:rsidRPr="00571754">
              <w:rPr>
                <w:sz w:val="20"/>
                <w:szCs w:val="20"/>
              </w:rPr>
              <w:t>11 Miss. Admin. Code Pt. 2, R. 1.3.D(1)(b).</w:t>
            </w:r>
          </w:p>
        </w:tc>
        <w:tc>
          <w:tcPr>
            <w:tcW w:w="1139" w:type="dxa"/>
            <w:vAlign w:val="center"/>
          </w:tcPr>
          <w:p w14:paraId="5B3E4D94" w14:textId="77777777" w:rsidR="00242A49" w:rsidRPr="00571754" w:rsidRDefault="00242A49" w:rsidP="005076D5">
            <w:pPr>
              <w:spacing w:before="60" w:after="60"/>
              <w:jc w:val="center"/>
              <w:rPr>
                <w:sz w:val="20"/>
                <w:szCs w:val="20"/>
              </w:rPr>
            </w:pPr>
            <w:r w:rsidRPr="00571754">
              <w:rPr>
                <w:sz w:val="20"/>
                <w:szCs w:val="20"/>
              </w:rPr>
              <w:t>PM</w:t>
            </w:r>
          </w:p>
        </w:tc>
        <w:tc>
          <w:tcPr>
            <w:tcW w:w="2611" w:type="dxa"/>
            <w:vAlign w:val="center"/>
          </w:tcPr>
          <w:p w14:paraId="00330DCC" w14:textId="77777777" w:rsidR="00242A49" w:rsidRPr="00571754" w:rsidRDefault="00242A49" w:rsidP="005076D5">
            <w:pPr>
              <w:spacing w:before="60" w:after="60"/>
              <w:rPr>
                <w:sz w:val="20"/>
                <w:szCs w:val="20"/>
              </w:rPr>
            </w:pPr>
            <w:r w:rsidRPr="00571754">
              <w:rPr>
                <w:sz w:val="20"/>
                <w:szCs w:val="20"/>
              </w:rPr>
              <w:t>E = 0.8808 × I</w:t>
            </w:r>
            <w:r w:rsidRPr="00571754">
              <w:rPr>
                <w:sz w:val="20"/>
                <w:szCs w:val="20"/>
                <w:vertAlign w:val="superscript"/>
              </w:rPr>
              <w:t>-0.1667</w:t>
            </w:r>
          </w:p>
        </w:tc>
        <w:tc>
          <w:tcPr>
            <w:tcW w:w="2539" w:type="dxa"/>
            <w:vMerge/>
            <w:vAlign w:val="center"/>
          </w:tcPr>
          <w:p w14:paraId="18E32F82" w14:textId="4DB2C057" w:rsidR="00242A49" w:rsidRPr="00571754" w:rsidRDefault="00242A49" w:rsidP="00890B5A">
            <w:pPr>
              <w:spacing w:before="60" w:after="60"/>
              <w:rPr>
                <w:sz w:val="20"/>
                <w:szCs w:val="20"/>
              </w:rPr>
            </w:pPr>
          </w:p>
        </w:tc>
      </w:tr>
      <w:tr w:rsidR="006840C8" w:rsidRPr="00571754" w14:paraId="501DC7AF" w14:textId="2ED34E6C" w:rsidTr="00571754">
        <w:tc>
          <w:tcPr>
            <w:tcW w:w="1430" w:type="dxa"/>
            <w:vAlign w:val="center"/>
          </w:tcPr>
          <w:p w14:paraId="0D5E8613" w14:textId="6D9B8313" w:rsidR="006840C8" w:rsidRPr="00571754" w:rsidRDefault="002470FB" w:rsidP="00000658">
            <w:pPr>
              <w:spacing w:after="60"/>
              <w:jc w:val="center"/>
              <w:rPr>
                <w:sz w:val="20"/>
                <w:szCs w:val="20"/>
              </w:rPr>
            </w:pPr>
            <w:r>
              <w:rPr>
                <w:sz w:val="20"/>
                <w:szCs w:val="20"/>
              </w:rPr>
              <w:lastRenderedPageBreak/>
              <w:t>Gas-Fired Boilers</w:t>
            </w:r>
          </w:p>
        </w:tc>
        <w:tc>
          <w:tcPr>
            <w:tcW w:w="2093" w:type="dxa"/>
            <w:vAlign w:val="center"/>
          </w:tcPr>
          <w:p w14:paraId="7E4A391A" w14:textId="77777777" w:rsidR="006840C8" w:rsidRPr="00571754" w:rsidRDefault="006840C8" w:rsidP="006840C8">
            <w:pPr>
              <w:adjustRightInd w:val="0"/>
              <w:spacing w:before="60" w:after="60"/>
              <w:rPr>
                <w:sz w:val="20"/>
                <w:szCs w:val="20"/>
              </w:rPr>
            </w:pPr>
            <w:r w:rsidRPr="00571754">
              <w:rPr>
                <w:sz w:val="20"/>
                <w:szCs w:val="20"/>
              </w:rPr>
              <w:t>11 Miss. Admin. Code Pt. 2, R. 2.2.B(10).</w:t>
            </w:r>
          </w:p>
          <w:p w14:paraId="007D8F1D" w14:textId="1781F1FB" w:rsidR="006840C8" w:rsidRPr="00571754" w:rsidRDefault="006840C8" w:rsidP="006840C8">
            <w:pPr>
              <w:adjustRightInd w:val="0"/>
              <w:spacing w:before="60" w:after="60"/>
              <w:rPr>
                <w:sz w:val="20"/>
                <w:szCs w:val="20"/>
              </w:rPr>
            </w:pPr>
            <w:r w:rsidRPr="00571754">
              <w:rPr>
                <w:sz w:val="20"/>
                <w:szCs w:val="20"/>
              </w:rPr>
              <w:t xml:space="preserve">(MACT </w:t>
            </w:r>
            <w:r w:rsidR="002470FB">
              <w:rPr>
                <w:sz w:val="20"/>
                <w:szCs w:val="20"/>
              </w:rPr>
              <w:t xml:space="preserve">Subpart JJJJJJ </w:t>
            </w:r>
            <w:r w:rsidRPr="00571754">
              <w:rPr>
                <w:sz w:val="20"/>
                <w:szCs w:val="20"/>
              </w:rPr>
              <w:t>Avoidance Limit)</w:t>
            </w:r>
          </w:p>
        </w:tc>
        <w:tc>
          <w:tcPr>
            <w:tcW w:w="1139" w:type="dxa"/>
            <w:vAlign w:val="center"/>
          </w:tcPr>
          <w:p w14:paraId="3D20B3EC" w14:textId="77777777" w:rsidR="006840C8" w:rsidRPr="00571754" w:rsidRDefault="006840C8" w:rsidP="006840C8">
            <w:pPr>
              <w:spacing w:before="60" w:after="60"/>
              <w:jc w:val="center"/>
              <w:rPr>
                <w:sz w:val="20"/>
                <w:szCs w:val="20"/>
              </w:rPr>
            </w:pPr>
            <w:r w:rsidRPr="00571754">
              <w:rPr>
                <w:sz w:val="20"/>
                <w:szCs w:val="20"/>
              </w:rPr>
              <w:t>HAP</w:t>
            </w:r>
          </w:p>
        </w:tc>
        <w:tc>
          <w:tcPr>
            <w:tcW w:w="2611" w:type="dxa"/>
            <w:vAlign w:val="center"/>
          </w:tcPr>
          <w:p w14:paraId="2AA3270C" w14:textId="77777777" w:rsidR="006840C8" w:rsidRPr="00571754" w:rsidRDefault="006840C8" w:rsidP="006840C8">
            <w:pPr>
              <w:spacing w:before="60" w:after="60"/>
              <w:rPr>
                <w:sz w:val="20"/>
                <w:szCs w:val="20"/>
              </w:rPr>
            </w:pPr>
            <w:r w:rsidRPr="00571754">
              <w:rPr>
                <w:sz w:val="20"/>
                <w:szCs w:val="20"/>
              </w:rPr>
              <w:t>≤ 48 hours/calendar year each</w:t>
            </w:r>
          </w:p>
        </w:tc>
        <w:tc>
          <w:tcPr>
            <w:tcW w:w="2539" w:type="dxa"/>
            <w:vAlign w:val="center"/>
          </w:tcPr>
          <w:p w14:paraId="7B745BB3" w14:textId="29411ABC" w:rsidR="006840C8" w:rsidRPr="00571754" w:rsidRDefault="000C1665" w:rsidP="00890B5A">
            <w:pPr>
              <w:spacing w:before="60" w:after="60"/>
              <w:rPr>
                <w:sz w:val="20"/>
                <w:szCs w:val="20"/>
              </w:rPr>
            </w:pPr>
            <w:r w:rsidRPr="00571754">
              <w:rPr>
                <w:sz w:val="20"/>
                <w:szCs w:val="20"/>
              </w:rPr>
              <w:t>Monitor and record fuel consumption</w:t>
            </w:r>
          </w:p>
        </w:tc>
      </w:tr>
      <w:tr w:rsidR="006840C8" w:rsidRPr="00571754" w14:paraId="0DCA9330" w14:textId="55FBB5B7" w:rsidTr="00571754">
        <w:tc>
          <w:tcPr>
            <w:tcW w:w="1430" w:type="dxa"/>
            <w:vAlign w:val="center"/>
          </w:tcPr>
          <w:p w14:paraId="113C46D8" w14:textId="3C21C510" w:rsidR="006840C8" w:rsidRPr="00571754" w:rsidRDefault="00890B5A" w:rsidP="006840C8">
            <w:pPr>
              <w:spacing w:after="60"/>
              <w:jc w:val="center"/>
              <w:rPr>
                <w:sz w:val="20"/>
                <w:szCs w:val="20"/>
              </w:rPr>
            </w:pPr>
            <w:r w:rsidRPr="00571754">
              <w:rPr>
                <w:sz w:val="20"/>
                <w:szCs w:val="20"/>
              </w:rPr>
              <w:t>Fossil Fuel Burning Installations Greater than 10 MMBTU/hr</w:t>
            </w:r>
          </w:p>
        </w:tc>
        <w:tc>
          <w:tcPr>
            <w:tcW w:w="2093" w:type="dxa"/>
            <w:vAlign w:val="center"/>
          </w:tcPr>
          <w:p w14:paraId="50768291" w14:textId="77777777" w:rsidR="006840C8" w:rsidRPr="00571754" w:rsidRDefault="006840C8" w:rsidP="006840C8">
            <w:pPr>
              <w:adjustRightInd w:val="0"/>
              <w:spacing w:before="60" w:after="60"/>
              <w:rPr>
                <w:sz w:val="20"/>
                <w:szCs w:val="20"/>
              </w:rPr>
            </w:pPr>
            <w:r w:rsidRPr="00571754">
              <w:rPr>
                <w:sz w:val="20"/>
                <w:szCs w:val="20"/>
              </w:rPr>
              <w:t>11 Miss. Admin. Code Pt. 2, R. 1.3.D(1)(a).</w:t>
            </w:r>
          </w:p>
        </w:tc>
        <w:tc>
          <w:tcPr>
            <w:tcW w:w="1139" w:type="dxa"/>
            <w:vAlign w:val="center"/>
          </w:tcPr>
          <w:p w14:paraId="4283260E" w14:textId="77777777" w:rsidR="006840C8" w:rsidRPr="00571754" w:rsidRDefault="006840C8" w:rsidP="006840C8">
            <w:pPr>
              <w:spacing w:before="60" w:after="60"/>
              <w:jc w:val="center"/>
              <w:rPr>
                <w:sz w:val="20"/>
                <w:szCs w:val="20"/>
              </w:rPr>
            </w:pPr>
            <w:r w:rsidRPr="00571754">
              <w:rPr>
                <w:sz w:val="20"/>
                <w:szCs w:val="20"/>
              </w:rPr>
              <w:t>PM</w:t>
            </w:r>
          </w:p>
        </w:tc>
        <w:tc>
          <w:tcPr>
            <w:tcW w:w="2611" w:type="dxa"/>
            <w:vAlign w:val="center"/>
          </w:tcPr>
          <w:p w14:paraId="3C57C26D" w14:textId="77777777" w:rsidR="006840C8" w:rsidRPr="00571754" w:rsidRDefault="006840C8" w:rsidP="006840C8">
            <w:pPr>
              <w:spacing w:before="60" w:after="60"/>
              <w:rPr>
                <w:sz w:val="20"/>
                <w:szCs w:val="20"/>
              </w:rPr>
            </w:pPr>
            <w:r w:rsidRPr="00571754">
              <w:rPr>
                <w:sz w:val="20"/>
                <w:szCs w:val="20"/>
              </w:rPr>
              <w:t>≤ 0.6 lb/MMBTU Heat Input</w:t>
            </w:r>
          </w:p>
        </w:tc>
        <w:tc>
          <w:tcPr>
            <w:tcW w:w="2539" w:type="dxa"/>
            <w:vAlign w:val="center"/>
          </w:tcPr>
          <w:p w14:paraId="3477207F" w14:textId="631E8E02" w:rsidR="006840C8" w:rsidRPr="00571754" w:rsidRDefault="00890B5A" w:rsidP="00890B5A">
            <w:pPr>
              <w:spacing w:before="60" w:after="60"/>
              <w:rPr>
                <w:sz w:val="20"/>
                <w:szCs w:val="20"/>
              </w:rPr>
            </w:pPr>
            <w:r w:rsidRPr="00571754">
              <w:rPr>
                <w:sz w:val="20"/>
                <w:szCs w:val="20"/>
              </w:rPr>
              <w:t>Large margin of compliance (no monitoring or recordkeeping incorporated into the permit)</w:t>
            </w:r>
          </w:p>
        </w:tc>
      </w:tr>
    </w:tbl>
    <w:p w14:paraId="7B3EE335" w14:textId="77777777" w:rsidR="001D7E96" w:rsidRDefault="001D7E96" w:rsidP="001D7E96">
      <w:pPr>
        <w:pStyle w:val="Title"/>
        <w:jc w:val="both"/>
        <w:rPr>
          <w:b w:val="0"/>
          <w:bCs w:val="0"/>
        </w:rPr>
      </w:pPr>
    </w:p>
    <w:p w14:paraId="369F5679" w14:textId="77777777" w:rsidR="001D7E96" w:rsidRDefault="001D7E96" w:rsidP="001D7E96">
      <w:pPr>
        <w:pStyle w:val="Title"/>
        <w:jc w:val="both"/>
        <w:rPr>
          <w:u w:val="single"/>
        </w:rPr>
      </w:pPr>
      <w:r>
        <w:rPr>
          <w:u w:val="single"/>
        </w:rPr>
        <w:t>NSPS APPLICABILITY</w:t>
      </w:r>
    </w:p>
    <w:p w14:paraId="19C5414B" w14:textId="77777777" w:rsidR="001D7E96" w:rsidRDefault="001D7E96" w:rsidP="001D7E96">
      <w:pPr>
        <w:pStyle w:val="Title"/>
        <w:jc w:val="both"/>
        <w:rPr>
          <w:u w:val="single"/>
        </w:rPr>
      </w:pPr>
    </w:p>
    <w:p w14:paraId="3F668BD9" w14:textId="45A88BCB" w:rsidR="001D7E96" w:rsidRDefault="00952E19" w:rsidP="001D7E96">
      <w:pPr>
        <w:pStyle w:val="Title"/>
        <w:jc w:val="both"/>
        <w:rPr>
          <w:b w:val="0"/>
          <w:bCs w:val="0"/>
        </w:rPr>
      </w:pPr>
      <w:r w:rsidRPr="00952E19">
        <w:rPr>
          <w:b w:val="0"/>
          <w:bCs w:val="0"/>
          <w:i/>
          <w:iCs/>
        </w:rPr>
        <w:t>40 CFR 60, Subpart Dc – Standards of Performance for Small Industrial-Commercial-Institutional Steam Generating Units</w:t>
      </w:r>
      <w:r>
        <w:rPr>
          <w:b w:val="0"/>
          <w:bCs w:val="0"/>
        </w:rPr>
        <w:t xml:space="preserve">: </w:t>
      </w:r>
      <w:r w:rsidR="000B478A">
        <w:rPr>
          <w:b w:val="0"/>
          <w:bCs w:val="0"/>
        </w:rPr>
        <w:t>This subpart applies to boilers construc</w:t>
      </w:r>
      <w:r w:rsidR="009204C2">
        <w:rPr>
          <w:b w:val="0"/>
          <w:bCs w:val="0"/>
        </w:rPr>
        <w:t>t</w:t>
      </w:r>
      <w:r w:rsidR="000B478A">
        <w:rPr>
          <w:b w:val="0"/>
          <w:bCs w:val="0"/>
        </w:rPr>
        <w:t xml:space="preserve">ed after 1989 with a heat input </w:t>
      </w:r>
      <w:r w:rsidR="009204C2">
        <w:rPr>
          <w:b w:val="0"/>
          <w:bCs w:val="0"/>
        </w:rPr>
        <w:t>between 10 and 100 MMBTU/hr.</w:t>
      </w:r>
      <w:r w:rsidR="00E45A8D">
        <w:rPr>
          <w:b w:val="0"/>
          <w:bCs w:val="0"/>
        </w:rPr>
        <w:t xml:space="preserve">  </w:t>
      </w:r>
      <w:r w:rsidR="005A6229">
        <w:rPr>
          <w:b w:val="0"/>
          <w:bCs w:val="0"/>
        </w:rPr>
        <w:t xml:space="preserve">Five </w:t>
      </w:r>
      <w:r w:rsidR="00E45A8D">
        <w:rPr>
          <w:b w:val="0"/>
          <w:bCs w:val="0"/>
        </w:rPr>
        <w:t xml:space="preserve">boilers at the facility </w:t>
      </w:r>
      <w:r w:rsidR="00D300AE">
        <w:rPr>
          <w:b w:val="0"/>
          <w:bCs w:val="0"/>
        </w:rPr>
        <w:t xml:space="preserve">were constructed after this date and have a corresponding capacity; therefore, this subpart does apply.  </w:t>
      </w:r>
      <w:r w:rsidR="002E6DE4">
        <w:rPr>
          <w:b w:val="0"/>
          <w:bCs w:val="0"/>
        </w:rPr>
        <w:t xml:space="preserve">The natural gas boilers at the site are only required to monitor and record the volume of fuel combusted monthly.  The </w:t>
      </w:r>
      <w:r w:rsidR="0033389C">
        <w:rPr>
          <w:b w:val="0"/>
          <w:bCs w:val="0"/>
        </w:rPr>
        <w:t>boilers with the capability to combust distillate oil (i.e., No. 2 fuel oil)</w:t>
      </w:r>
      <w:r w:rsidR="0068009B">
        <w:rPr>
          <w:b w:val="0"/>
          <w:bCs w:val="0"/>
        </w:rPr>
        <w:t xml:space="preserve"> must comply with specific PM and SO</w:t>
      </w:r>
      <w:r w:rsidR="0068009B" w:rsidRPr="0068009B">
        <w:rPr>
          <w:b w:val="0"/>
          <w:bCs w:val="0"/>
          <w:vertAlign w:val="subscript"/>
        </w:rPr>
        <w:t>2</w:t>
      </w:r>
      <w:r w:rsidR="0068009B">
        <w:rPr>
          <w:b w:val="0"/>
          <w:bCs w:val="0"/>
        </w:rPr>
        <w:t xml:space="preserve"> standards.</w:t>
      </w:r>
      <w:r w:rsidR="00F65A0F">
        <w:rPr>
          <w:b w:val="0"/>
          <w:bCs w:val="0"/>
        </w:rPr>
        <w:t xml:space="preserve">  The new boilers (Emission Points AA-200f through AA200m) were constructed after the applicability date but are less than 10 MMBTU/hr</w:t>
      </w:r>
      <w:r w:rsidR="005A6229">
        <w:rPr>
          <w:b w:val="0"/>
          <w:bCs w:val="0"/>
        </w:rPr>
        <w:t>; therefore, this subpart does not apply to the new units.</w:t>
      </w:r>
    </w:p>
    <w:p w14:paraId="11409E03" w14:textId="77777777" w:rsidR="0068009B" w:rsidRDefault="0068009B" w:rsidP="001D7E96">
      <w:pPr>
        <w:pStyle w:val="Title"/>
        <w:jc w:val="both"/>
        <w:rPr>
          <w:b w:val="0"/>
          <w:bCs w:val="0"/>
        </w:rPr>
      </w:pPr>
    </w:p>
    <w:p w14:paraId="05CF9E44" w14:textId="499DB3D6" w:rsidR="0068009B" w:rsidRDefault="0068009B" w:rsidP="001D7E96">
      <w:pPr>
        <w:pStyle w:val="Title"/>
        <w:jc w:val="both"/>
        <w:rPr>
          <w:b w:val="0"/>
          <w:bCs w:val="0"/>
        </w:rPr>
      </w:pPr>
      <w:r>
        <w:rPr>
          <w:b w:val="0"/>
          <w:bCs w:val="0"/>
          <w:i/>
          <w:iCs/>
        </w:rPr>
        <w:t>40 CFR 60, Subpart K, Ka, Kb, and Kc – Standards of Performance for Volatile Organic Liquid Storage Vessels (including Petroleum Liquid Storage Vessels)</w:t>
      </w:r>
      <w:r>
        <w:rPr>
          <w:b w:val="0"/>
          <w:bCs w:val="0"/>
        </w:rPr>
        <w:t xml:space="preserve">:  </w:t>
      </w:r>
      <w:r w:rsidR="00284D22">
        <w:rPr>
          <w:b w:val="0"/>
          <w:bCs w:val="0"/>
        </w:rPr>
        <w:t>this applies to storage tanks of various sizes, applicability dates, and vapor pressures of contents</w:t>
      </w:r>
      <w:r w:rsidR="0020322E">
        <w:rPr>
          <w:b w:val="0"/>
          <w:bCs w:val="0"/>
        </w:rPr>
        <w:t xml:space="preserve">.  All but one is not large enough to meet any of the applicable thresholds.  The 20,000-gallon fixed roof diesel UST </w:t>
      </w:r>
      <w:r w:rsidR="00EC0C66">
        <w:rPr>
          <w:b w:val="0"/>
          <w:bCs w:val="0"/>
        </w:rPr>
        <w:t>meets the threshold of 19,812.9 gallons for Subpart Kb; however, the vapor pressure of the stored diesel fuel does not meet the minimum vapor pressure value.  Therefore, this subpart does not apply.</w:t>
      </w:r>
    </w:p>
    <w:p w14:paraId="6D910150" w14:textId="77777777" w:rsidR="00EC0C66" w:rsidRDefault="00EC0C66" w:rsidP="001D7E96">
      <w:pPr>
        <w:pStyle w:val="Title"/>
        <w:jc w:val="both"/>
        <w:rPr>
          <w:b w:val="0"/>
          <w:bCs w:val="0"/>
        </w:rPr>
      </w:pPr>
    </w:p>
    <w:p w14:paraId="7C10774B" w14:textId="26F4B82A" w:rsidR="00EC0C66" w:rsidRDefault="00EC0C66" w:rsidP="001D7E96">
      <w:pPr>
        <w:pStyle w:val="Title"/>
        <w:jc w:val="both"/>
        <w:rPr>
          <w:b w:val="0"/>
          <w:bCs w:val="0"/>
        </w:rPr>
      </w:pPr>
      <w:r>
        <w:rPr>
          <w:b w:val="0"/>
          <w:bCs w:val="0"/>
          <w:i/>
          <w:iCs/>
        </w:rPr>
        <w:t xml:space="preserve">40 CFR </w:t>
      </w:r>
      <w:r w:rsidR="00AF618A">
        <w:rPr>
          <w:b w:val="0"/>
          <w:bCs w:val="0"/>
          <w:i/>
          <w:iCs/>
        </w:rPr>
        <w:t xml:space="preserve">60, Subpart IIII - Standards of Performance for Stationary Compression Ignition </w:t>
      </w:r>
      <w:r w:rsidR="00D9409F">
        <w:rPr>
          <w:b w:val="0"/>
          <w:bCs w:val="0"/>
          <w:i/>
          <w:iCs/>
        </w:rPr>
        <w:t xml:space="preserve">(CI) </w:t>
      </w:r>
      <w:r w:rsidR="00AF618A">
        <w:rPr>
          <w:b w:val="0"/>
          <w:bCs w:val="0"/>
          <w:i/>
          <w:iCs/>
        </w:rPr>
        <w:t>Internal Combustion Engines</w:t>
      </w:r>
      <w:r w:rsidR="00AF618A">
        <w:rPr>
          <w:b w:val="0"/>
          <w:bCs w:val="0"/>
        </w:rPr>
        <w:t xml:space="preserve">:  this subpart applies to </w:t>
      </w:r>
      <w:r w:rsidR="00D9409F">
        <w:rPr>
          <w:b w:val="0"/>
          <w:bCs w:val="0"/>
        </w:rPr>
        <w:t>CI engines constructed after April 1, 2006.  UMMC operates 12 diesel-fired stationary emergency CI engines</w:t>
      </w:r>
      <w:r w:rsidR="00601AA4">
        <w:rPr>
          <w:b w:val="0"/>
          <w:bCs w:val="0"/>
        </w:rPr>
        <w:t xml:space="preserve"> constructed after the applicability date; therefore, this subpart does apply.</w:t>
      </w:r>
      <w:r w:rsidR="00E76FC6">
        <w:rPr>
          <w:b w:val="0"/>
          <w:bCs w:val="0"/>
        </w:rPr>
        <w:t xml:space="preserve">  These engines are subject to emission standards for products of fuel combustion</w:t>
      </w:r>
      <w:r w:rsidR="00E83471">
        <w:rPr>
          <w:b w:val="0"/>
          <w:bCs w:val="0"/>
        </w:rPr>
        <w:t xml:space="preserve"> and will meet these requirements by purchasing a certified engine.</w:t>
      </w:r>
      <w:r w:rsidR="001C3691">
        <w:rPr>
          <w:b w:val="0"/>
          <w:bCs w:val="0"/>
        </w:rPr>
        <w:t xml:space="preserve">  </w:t>
      </w:r>
      <w:r w:rsidR="00377450">
        <w:rPr>
          <w:b w:val="0"/>
          <w:bCs w:val="0"/>
        </w:rPr>
        <w:t>These standards also apply to the six proposed engines.</w:t>
      </w:r>
    </w:p>
    <w:p w14:paraId="2470D11A" w14:textId="77777777" w:rsidR="00E83471" w:rsidRDefault="00E83471" w:rsidP="001D7E96">
      <w:pPr>
        <w:pStyle w:val="Title"/>
        <w:jc w:val="both"/>
        <w:rPr>
          <w:b w:val="0"/>
          <w:bCs w:val="0"/>
        </w:rPr>
      </w:pPr>
    </w:p>
    <w:p w14:paraId="3F9F5E44" w14:textId="589928F4" w:rsidR="00E83471" w:rsidRPr="00D400E5" w:rsidRDefault="00E83471" w:rsidP="001D7E96">
      <w:pPr>
        <w:pStyle w:val="Title"/>
        <w:jc w:val="both"/>
        <w:rPr>
          <w:b w:val="0"/>
          <w:bCs w:val="0"/>
        </w:rPr>
      </w:pPr>
      <w:r>
        <w:rPr>
          <w:b w:val="0"/>
          <w:bCs w:val="0"/>
          <w:i/>
          <w:iCs/>
        </w:rPr>
        <w:t>40 CFR 60, Subpart JJJJ - Standards of Performance for Stationary Spark Ignition (</w:t>
      </w:r>
      <w:r w:rsidR="00D400E5">
        <w:rPr>
          <w:b w:val="0"/>
          <w:bCs w:val="0"/>
          <w:i/>
          <w:iCs/>
        </w:rPr>
        <w:t>S</w:t>
      </w:r>
      <w:r>
        <w:rPr>
          <w:b w:val="0"/>
          <w:bCs w:val="0"/>
          <w:i/>
          <w:iCs/>
        </w:rPr>
        <w:t>I) Internal Combustion Engines</w:t>
      </w:r>
      <w:r w:rsidR="00D400E5">
        <w:rPr>
          <w:b w:val="0"/>
          <w:bCs w:val="0"/>
        </w:rPr>
        <w:t xml:space="preserve">:  this subpart applies to SI engines constructed after June 12, 2006.  UMMC operates </w:t>
      </w:r>
      <w:r w:rsidR="001C3691">
        <w:rPr>
          <w:b w:val="0"/>
          <w:bCs w:val="0"/>
        </w:rPr>
        <w:t xml:space="preserve">three (3) natural gas-fired stationary emergency SI engines constructed after the applicability date; therefore, this subpart does apply.  These engines are subject to </w:t>
      </w:r>
      <w:r w:rsidR="00377450">
        <w:rPr>
          <w:b w:val="0"/>
          <w:bCs w:val="0"/>
        </w:rPr>
        <w:t>emission standards for products of fuel combustion and will meet these requirements by purchasing a certified engine.</w:t>
      </w:r>
    </w:p>
    <w:p w14:paraId="5C0FE71C" w14:textId="77777777" w:rsidR="001D7E96" w:rsidRDefault="001D7E96" w:rsidP="001D7E96">
      <w:pPr>
        <w:pStyle w:val="Title"/>
        <w:jc w:val="both"/>
        <w:rPr>
          <w:b w:val="0"/>
          <w:bCs w:val="0"/>
        </w:rPr>
      </w:pPr>
    </w:p>
    <w:p w14:paraId="692210DC" w14:textId="77777777" w:rsidR="001D7E96" w:rsidRDefault="001D7E96" w:rsidP="001D7E96">
      <w:pPr>
        <w:pStyle w:val="Title"/>
        <w:jc w:val="both"/>
        <w:rPr>
          <w:u w:val="single"/>
        </w:rPr>
      </w:pPr>
      <w:r>
        <w:rPr>
          <w:u w:val="single"/>
        </w:rPr>
        <w:lastRenderedPageBreak/>
        <w:t>MACT APPLICABILITY</w:t>
      </w:r>
    </w:p>
    <w:p w14:paraId="5AEDB325" w14:textId="77777777" w:rsidR="001D7E96" w:rsidRDefault="001D7E96" w:rsidP="001D7E96">
      <w:pPr>
        <w:pStyle w:val="Title"/>
        <w:jc w:val="both"/>
        <w:rPr>
          <w:u w:val="single"/>
        </w:rPr>
      </w:pPr>
    </w:p>
    <w:p w14:paraId="6BFE6981" w14:textId="3D9189E6" w:rsidR="001D7E96" w:rsidRDefault="00D31995" w:rsidP="001D7E96">
      <w:pPr>
        <w:pStyle w:val="Title"/>
        <w:jc w:val="both"/>
        <w:rPr>
          <w:b w:val="0"/>
          <w:bCs w:val="0"/>
        </w:rPr>
      </w:pPr>
      <w:r w:rsidRPr="00D31995">
        <w:rPr>
          <w:b w:val="0"/>
          <w:bCs w:val="0"/>
          <w:i/>
          <w:iCs/>
        </w:rPr>
        <w:t>40 CFR 63, Subpart ZZZZ – National Emission Standards for Hazardous Air Pollutants for Stationary Reciprocating Internal Combustion Engines</w:t>
      </w:r>
      <w:r>
        <w:rPr>
          <w:b w:val="0"/>
          <w:bCs w:val="0"/>
        </w:rPr>
        <w:t xml:space="preserve">:  </w:t>
      </w:r>
      <w:r w:rsidR="009204C2">
        <w:rPr>
          <w:b w:val="0"/>
          <w:bCs w:val="0"/>
        </w:rPr>
        <w:t xml:space="preserve">This subpart applies to RICE. </w:t>
      </w:r>
      <w:r w:rsidR="00E01D4E">
        <w:rPr>
          <w:b w:val="0"/>
          <w:bCs w:val="0"/>
        </w:rPr>
        <w:t>UMMC</w:t>
      </w:r>
      <w:r w:rsidR="005941AD">
        <w:rPr>
          <w:b w:val="0"/>
          <w:bCs w:val="0"/>
        </w:rPr>
        <w:t xml:space="preserve"> has many stationary </w:t>
      </w:r>
      <w:r w:rsidR="009204C2">
        <w:rPr>
          <w:b w:val="0"/>
          <w:bCs w:val="0"/>
        </w:rPr>
        <w:t>emergency RICE</w:t>
      </w:r>
      <w:r w:rsidR="005941AD">
        <w:rPr>
          <w:b w:val="0"/>
          <w:bCs w:val="0"/>
        </w:rPr>
        <w:t xml:space="preserve"> (both spark-ignition and compression ignition)</w:t>
      </w:r>
      <w:r w:rsidR="00FC537A">
        <w:rPr>
          <w:b w:val="0"/>
          <w:bCs w:val="0"/>
        </w:rPr>
        <w:t xml:space="preserve">; therefore, this subpart does apply.  </w:t>
      </w:r>
      <w:r w:rsidR="00BC368C">
        <w:rPr>
          <w:b w:val="0"/>
          <w:bCs w:val="0"/>
        </w:rPr>
        <w:t>Twelve (12) of the emergency engines were manufactured prior to the applicability date of April 1, 2006, and are subject to the requirements of the subpart.</w:t>
      </w:r>
      <w:r w:rsidR="00EA0321">
        <w:rPr>
          <w:b w:val="0"/>
          <w:bCs w:val="0"/>
        </w:rPr>
        <w:t xml:space="preserve">  </w:t>
      </w:r>
      <w:r w:rsidR="008F44E0">
        <w:rPr>
          <w:b w:val="0"/>
          <w:bCs w:val="0"/>
        </w:rPr>
        <w:t xml:space="preserve">These engines </w:t>
      </w:r>
      <w:r w:rsidR="005D099A">
        <w:rPr>
          <w:b w:val="0"/>
          <w:bCs w:val="0"/>
        </w:rPr>
        <w:t xml:space="preserve">are subject to the emergency use provisions as long as the engines remain in “emergency service.”  </w:t>
      </w:r>
      <w:r w:rsidR="00EA0321">
        <w:rPr>
          <w:b w:val="0"/>
          <w:bCs w:val="0"/>
        </w:rPr>
        <w:t>The others will comply with the requirements of this subpart by complying with the requirements of 40 CFR 60, Subpart IIII and Subpart JJJJ.</w:t>
      </w:r>
      <w:r w:rsidR="008F44E0">
        <w:rPr>
          <w:b w:val="0"/>
          <w:bCs w:val="0"/>
        </w:rPr>
        <w:t xml:space="preserve">  </w:t>
      </w:r>
    </w:p>
    <w:p w14:paraId="1A227C9E" w14:textId="77777777" w:rsidR="001D7E96" w:rsidRDefault="001D7E96" w:rsidP="001D7E96">
      <w:pPr>
        <w:pStyle w:val="Title"/>
        <w:jc w:val="both"/>
        <w:rPr>
          <w:b w:val="0"/>
          <w:bCs w:val="0"/>
        </w:rPr>
      </w:pPr>
    </w:p>
    <w:p w14:paraId="38136B87" w14:textId="701DCBBE" w:rsidR="001D7E96" w:rsidRPr="00CB6C35" w:rsidRDefault="00CC1AA3" w:rsidP="001D7E96">
      <w:pPr>
        <w:pStyle w:val="Title"/>
        <w:jc w:val="both"/>
        <w:rPr>
          <w:b w:val="0"/>
          <w:bCs w:val="0"/>
        </w:rPr>
      </w:pPr>
      <w:r>
        <w:rPr>
          <w:b w:val="0"/>
          <w:bCs w:val="0"/>
          <w:i/>
          <w:iCs/>
        </w:rPr>
        <w:t xml:space="preserve">40 CFR 63, Subpart JJJJJJ – National </w:t>
      </w:r>
      <w:r w:rsidRPr="00D31995">
        <w:rPr>
          <w:b w:val="0"/>
          <w:bCs w:val="0"/>
          <w:i/>
          <w:iCs/>
        </w:rPr>
        <w:t>Emission Standards for Hazardous Air Pollutants</w:t>
      </w:r>
      <w:r>
        <w:rPr>
          <w:b w:val="0"/>
          <w:bCs w:val="0"/>
          <w:i/>
          <w:iCs/>
        </w:rPr>
        <w:t xml:space="preserve"> for Industrial, Commercial, and Institutional Boilers Area Sources</w:t>
      </w:r>
      <w:r w:rsidR="00CB6C35">
        <w:rPr>
          <w:b w:val="0"/>
          <w:bCs w:val="0"/>
        </w:rPr>
        <w:t>:  this subpart applies to dual fuel-fired units (able to combust natural gas and fuel oil).  UMMC does operate five (5) units that meet this definition; however, UMMC has opted to restrict the usage of fuel oil within each boiler</w:t>
      </w:r>
      <w:r w:rsidR="004A6E3D">
        <w:rPr>
          <w:b w:val="0"/>
          <w:bCs w:val="0"/>
        </w:rPr>
        <w:t xml:space="preserve"> for a combined duration of 48 hours during a calendar year.  By implementing this restriction, the boilers are considered “gas-fired.”  Therefore, this subpart does not apply.</w:t>
      </w:r>
      <w:r w:rsidR="00E03740">
        <w:rPr>
          <w:b w:val="0"/>
          <w:bCs w:val="0"/>
        </w:rPr>
        <w:t xml:space="preserve">  </w:t>
      </w:r>
      <w:r w:rsidR="003D0622">
        <w:rPr>
          <w:b w:val="0"/>
          <w:bCs w:val="0"/>
        </w:rPr>
        <w:t>The proposed boilers (Emission Points AA-200f through AAA-200m) are natural gas-fired only units and are also not subject to this subpart.</w:t>
      </w:r>
    </w:p>
    <w:p w14:paraId="5C10E160" w14:textId="77777777" w:rsidR="00A11EAD" w:rsidRDefault="00A11EAD">
      <w:pPr>
        <w:pStyle w:val="Title"/>
        <w:jc w:val="both"/>
        <w:rPr>
          <w:b w:val="0"/>
          <w:bCs w:val="0"/>
        </w:rPr>
      </w:pPr>
    </w:p>
    <w:p w14:paraId="0EA2F6B8" w14:textId="0E20831C" w:rsidR="00A11EAD" w:rsidRPr="00F71DB6" w:rsidRDefault="00F71DB6">
      <w:pPr>
        <w:pStyle w:val="Title"/>
        <w:jc w:val="both"/>
        <w:rPr>
          <w:b w:val="0"/>
          <w:bCs w:val="0"/>
        </w:rPr>
      </w:pPr>
      <w:r>
        <w:rPr>
          <w:b w:val="0"/>
          <w:bCs w:val="0"/>
          <w:i/>
          <w:iCs/>
        </w:rPr>
        <w:t>40 CFR 63, Subpart CCCCCC – National Emission Standards for Hazardous Air Pollutants for Source Category: Gasoline Dispensing Facilities</w:t>
      </w:r>
      <w:r>
        <w:rPr>
          <w:b w:val="0"/>
          <w:bCs w:val="0"/>
        </w:rPr>
        <w:t>:  this subpart applies to gasoline dispensing facilities that operate dispensing uni</w:t>
      </w:r>
      <w:r w:rsidR="003274BB">
        <w:rPr>
          <w:b w:val="0"/>
          <w:bCs w:val="0"/>
        </w:rPr>
        <w:t xml:space="preserve">ts (i.e., dispense gasoline into motor vehicles, lawn equipment, etc.).  UMMC possesses two (2) storage tanks that dispense gasoline; therefore, this subpart does apply.  However, </w:t>
      </w:r>
      <w:r w:rsidR="00235CC4">
        <w:rPr>
          <w:b w:val="0"/>
          <w:bCs w:val="0"/>
        </w:rPr>
        <w:t xml:space="preserve">the facility is not subject to any requirements of the subpart as long as the throughput of dispensed gasoline does not </w:t>
      </w:r>
      <w:r w:rsidR="00CE6774">
        <w:rPr>
          <w:b w:val="0"/>
          <w:bCs w:val="0"/>
        </w:rPr>
        <w:t xml:space="preserve">exceed 10,000 gallons </w:t>
      </w:r>
      <w:r w:rsidR="00E01D4E">
        <w:rPr>
          <w:b w:val="0"/>
          <w:bCs w:val="0"/>
        </w:rPr>
        <w:t>per month.</w:t>
      </w:r>
    </w:p>
    <w:p w14:paraId="1D0BCDFB" w14:textId="77777777" w:rsidR="00F71DB6" w:rsidRDefault="00F71DB6">
      <w:pPr>
        <w:pStyle w:val="Title"/>
        <w:jc w:val="both"/>
        <w:rPr>
          <w:b w:val="0"/>
          <w:bCs w:val="0"/>
        </w:rPr>
      </w:pPr>
    </w:p>
    <w:p w14:paraId="1CDFB854" w14:textId="77777777" w:rsidR="00AE785C" w:rsidRDefault="00AE785C">
      <w:pPr>
        <w:spacing w:line="240" w:lineRule="atLeast"/>
        <w:rPr>
          <w:rFonts w:ascii="Tms Rmn" w:hAnsi="Tms Rmn" w:cs="Tms Rmn"/>
          <w:b/>
          <w:bCs/>
          <w:color w:val="000000"/>
          <w:u w:val="single"/>
        </w:rPr>
      </w:pPr>
      <w:r>
        <w:rPr>
          <w:rFonts w:ascii="Tms Rmn" w:hAnsi="Tms Rmn" w:cs="Tms Rmn"/>
          <w:b/>
          <w:bCs/>
          <w:color w:val="000000"/>
          <w:u w:val="single"/>
        </w:rPr>
        <w:t>PUBLIC PARTICIPATION</w:t>
      </w:r>
    </w:p>
    <w:p w14:paraId="4DAF2CEE" w14:textId="77777777" w:rsidR="00AE785C" w:rsidRDefault="00AE785C">
      <w:pPr>
        <w:spacing w:line="240" w:lineRule="atLeast"/>
        <w:rPr>
          <w:rFonts w:ascii="Tms Rmn" w:hAnsi="Tms Rmn" w:cs="Tms Rmn"/>
          <w:b/>
          <w:bCs/>
          <w:color w:val="000000"/>
          <w:u w:val="single"/>
        </w:rPr>
      </w:pPr>
    </w:p>
    <w:p w14:paraId="545B8C10" w14:textId="12C1B5DF" w:rsidR="00AE785C" w:rsidRDefault="00AE785C">
      <w:pPr>
        <w:pStyle w:val="BodyText2"/>
      </w:pPr>
      <w:r>
        <w:t xml:space="preserve">The 30-day public notice period began on </w:t>
      </w:r>
      <w:r w:rsidR="000121CC">
        <w:t>July 22, 2026</w:t>
      </w:r>
      <w:r w:rsidR="00B971D2">
        <w:t>, when</w:t>
      </w:r>
      <w:r>
        <w:t xml:space="preserve"> </w:t>
      </w:r>
      <w:r w:rsidR="00577E4D">
        <w:t>the</w:t>
      </w:r>
      <w:r>
        <w:t xml:space="preserve"> notice </w:t>
      </w:r>
      <w:r w:rsidR="00B971D2">
        <w:t xml:space="preserve">was posted </w:t>
      </w:r>
      <w:r w:rsidR="00577E4D">
        <w:t>on MDEQ’s website</w:t>
      </w:r>
      <w:r>
        <w:t xml:space="preserve"> and ends</w:t>
      </w:r>
      <w:r w:rsidR="000121CC">
        <w:t xml:space="preserve"> August </w:t>
      </w:r>
      <w:r w:rsidR="00D45D97">
        <w:t>24, 2026</w:t>
      </w:r>
      <w:r>
        <w:t>.</w:t>
      </w:r>
    </w:p>
    <w:p w14:paraId="2F0261E8" w14:textId="77777777" w:rsidR="00AE785C" w:rsidRDefault="00AE785C">
      <w:pPr>
        <w:pStyle w:val="Title"/>
        <w:jc w:val="both"/>
        <w:rPr>
          <w:rFonts w:ascii="Tms Rmn" w:hAnsi="Tms Rmn" w:cs="Tms Rmn"/>
          <w:b w:val="0"/>
          <w:bCs w:val="0"/>
          <w:snapToGrid w:val="0"/>
          <w:color w:val="000000"/>
        </w:rPr>
      </w:pPr>
    </w:p>
    <w:sectPr w:rsidR="00AE785C" w:rsidSect="0055558F">
      <w:headerReference w:type="default" r:id="rId8"/>
      <w:footerReference w:type="default" r:id="rId9"/>
      <w:footerReference w:type="first" r:id="rId10"/>
      <w:pgSz w:w="12240" w:h="15840" w:code="1"/>
      <w:pgMar w:top="1440" w:right="1440" w:bottom="1440" w:left="144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061D9" w14:textId="77777777" w:rsidR="00521C93" w:rsidRDefault="00521C93">
      <w:r>
        <w:separator/>
      </w:r>
    </w:p>
  </w:endnote>
  <w:endnote w:type="continuationSeparator" w:id="0">
    <w:p w14:paraId="337A6263" w14:textId="77777777" w:rsidR="00521C93" w:rsidRDefault="00521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Times New Roman"/>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Haettenschweiler"/>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ms Rmn">
    <w:altName w:val="Times New Roma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A86D5" w14:textId="77777777" w:rsidR="00AE785C" w:rsidRPr="0026446A" w:rsidRDefault="0026446A" w:rsidP="0026446A">
    <w:pPr>
      <w:pStyle w:val="Footer"/>
    </w:pPr>
    <w:r>
      <w:t>1837 PER20240002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C6EE1" w14:textId="77777777" w:rsidR="00AE785C" w:rsidRDefault="00AE785C">
    <w:pPr>
      <w:pStyle w:val="Footer"/>
    </w:pPr>
    <w:r>
      <w:t>1837 PER20240002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BF8E3" w14:textId="77777777" w:rsidR="00521C93" w:rsidRDefault="00521C93">
      <w:r>
        <w:separator/>
      </w:r>
    </w:p>
  </w:footnote>
  <w:footnote w:type="continuationSeparator" w:id="0">
    <w:p w14:paraId="223F3949" w14:textId="77777777" w:rsidR="00521C93" w:rsidRDefault="00521C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A40B3" w14:textId="77777777" w:rsidR="00AE785C" w:rsidRDefault="00AE785C">
    <w:pPr>
      <w:pStyle w:val="Header"/>
      <w:rPr>
        <w:sz w:val="18"/>
        <w:szCs w:val="18"/>
      </w:rPr>
    </w:pPr>
    <w:r>
      <w:rPr>
        <w:sz w:val="18"/>
        <w:szCs w:val="18"/>
      </w:rPr>
      <w:t>Permit Review Summary</w:t>
    </w:r>
  </w:p>
  <w:p w14:paraId="2BB0DE08" w14:textId="77777777" w:rsidR="00AE785C" w:rsidRDefault="00AE785C">
    <w:pPr>
      <w:pStyle w:val="Header"/>
      <w:rPr>
        <w:rStyle w:val="PageNumber"/>
        <w:sz w:val="18"/>
        <w:szCs w:val="18"/>
      </w:rPr>
    </w:pPr>
    <w:r>
      <w:rPr>
        <w:sz w:val="18"/>
        <w:szCs w:val="18"/>
      </w:rPr>
      <w:t xml:space="preserve">Page </w:t>
    </w:r>
    <w:r>
      <w:rPr>
        <w:rStyle w:val="PageNumber"/>
        <w:sz w:val="18"/>
        <w:szCs w:val="18"/>
      </w:rPr>
      <w:fldChar w:fldCharType="begin"/>
    </w:r>
    <w:r>
      <w:rPr>
        <w:rStyle w:val="PageNumber"/>
        <w:sz w:val="18"/>
        <w:szCs w:val="18"/>
      </w:rPr>
      <w:instrText xml:space="preserve"> PAGE </w:instrText>
    </w:r>
    <w:r>
      <w:rPr>
        <w:rStyle w:val="PageNumber"/>
        <w:sz w:val="18"/>
        <w:szCs w:val="18"/>
      </w:rPr>
      <w:fldChar w:fldCharType="separate"/>
    </w:r>
    <w:r w:rsidR="00AF3C0E">
      <w:rPr>
        <w:rStyle w:val="PageNumber"/>
        <w:noProof/>
        <w:sz w:val="18"/>
        <w:szCs w:val="18"/>
      </w:rPr>
      <w:t>2</w:t>
    </w:r>
    <w:r>
      <w:rPr>
        <w:rStyle w:val="PageNumbe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0402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EDB1F8D"/>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5D0623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7A92950"/>
    <w:multiLevelType w:val="hybridMultilevel"/>
    <w:tmpl w:val="3440EFD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15:restartNumberingAfterBreak="0">
    <w:nsid w:val="30CE116A"/>
    <w:multiLevelType w:val="hybridMultilevel"/>
    <w:tmpl w:val="5FC6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552794"/>
    <w:multiLevelType w:val="singleLevel"/>
    <w:tmpl w:val="FFFFFFFF"/>
    <w:lvl w:ilvl="0">
      <w:start w:val="1"/>
      <w:numFmt w:val="decimal"/>
      <w:lvlText w:val="%1."/>
      <w:lvlJc w:val="left"/>
      <w:pPr>
        <w:tabs>
          <w:tab w:val="num" w:pos="360"/>
        </w:tabs>
        <w:ind w:left="360" w:hanging="360"/>
      </w:pPr>
      <w:rPr>
        <w:rFonts w:cs="Times New Roman"/>
      </w:rPr>
    </w:lvl>
  </w:abstractNum>
  <w:abstractNum w:abstractNumId="6" w15:restartNumberingAfterBreak="0">
    <w:nsid w:val="4FC57114"/>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563D3BAD"/>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5EA366A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6B296088"/>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D522473"/>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D090F9E"/>
    <w:multiLevelType w:val="singleLevel"/>
    <w:tmpl w:val="FFFFFFFF"/>
    <w:lvl w:ilvl="0">
      <w:start w:val="1"/>
      <w:numFmt w:val="bullet"/>
      <w:lvlText w:val=""/>
      <w:lvlJc w:val="left"/>
      <w:pPr>
        <w:tabs>
          <w:tab w:val="num" w:pos="360"/>
        </w:tabs>
        <w:ind w:left="360" w:hanging="360"/>
      </w:pPr>
      <w:rPr>
        <w:rFonts w:ascii="Symbol" w:hAnsi="Symbol" w:hint="default"/>
      </w:rPr>
    </w:lvl>
  </w:abstractNum>
  <w:num w:numId="1" w16cid:durableId="1876312734">
    <w:abstractNumId w:val="5"/>
  </w:num>
  <w:num w:numId="2" w16cid:durableId="2001351986">
    <w:abstractNumId w:val="0"/>
  </w:num>
  <w:num w:numId="3" w16cid:durableId="1882286167">
    <w:abstractNumId w:val="6"/>
  </w:num>
  <w:num w:numId="4" w16cid:durableId="664473087">
    <w:abstractNumId w:val="10"/>
  </w:num>
  <w:num w:numId="5" w16cid:durableId="825364149">
    <w:abstractNumId w:val="1"/>
  </w:num>
  <w:num w:numId="6" w16cid:durableId="1792744104">
    <w:abstractNumId w:val="9"/>
  </w:num>
  <w:num w:numId="7" w16cid:durableId="1275861681">
    <w:abstractNumId w:val="11"/>
  </w:num>
  <w:num w:numId="8" w16cid:durableId="783427320">
    <w:abstractNumId w:val="8"/>
  </w:num>
  <w:num w:numId="9" w16cid:durableId="668409246">
    <w:abstractNumId w:val="7"/>
  </w:num>
  <w:num w:numId="10" w16cid:durableId="1607301641">
    <w:abstractNumId w:val="2"/>
  </w:num>
  <w:num w:numId="11" w16cid:durableId="1164055994">
    <w:abstractNumId w:val="3"/>
  </w:num>
  <w:num w:numId="12" w16cid:durableId="15590531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uppressBottomSpacing/>
    <w:doNotUseHTMLParagraphAutoSpacing/>
    <w:compatSetting w:name="compatibilityMode" w:uri="http://schemas.microsoft.com/office/word" w:val="12"/>
    <w:compatSetting w:name="useWord2013TrackBottomHyphenation" w:uri="http://schemas.microsoft.com/office/word" w:val="0"/>
  </w:compat>
  <w:docVars>
    <w:docVar w:name="Address" w:val="\'5c'5c'5c'5c'5c'5c'5c'5c'5c'5c'5c'5c'5c'5c'5c'5c'0d\'5c'5c'5c'5c'5c'5c'5c'5c'5c'5c'5c'5c'5c'5c'5c'5c'0d\'5c'5c'5c'5c'5c'5c'5c'5c'5c'5c'5c'5c'5c'5c'5c'5c'0d,   "/>
    <w:docVar w:name="FacilityContact" w:val="man"/>
    <w:docVar w:name="Ref" w:val="Permit 1\'5c'5c'5c'5c'5c'5c'5c'5c'5c'5c'5c'5c'5c'5c'5c'5c'0d\'5c'5c'5c'5c'5c'5c'5c'5c'5c'5c'5c'5c'5c'5c'5c'5c'0aPermit 2\'5c'5c'5c'5c'5c'5c'5c'5c'5c'5c'5c'5c'5c'5c'5c'5c'0d\'5c'5c'5c'5c'5c'5c'5c'5c'5c'5c'5c'5c'5c'5c'5c'5c'0a"/>
  </w:docVars>
  <w:rsids>
    <w:rsidRoot w:val="0026446A"/>
    <w:rsid w:val="00000658"/>
    <w:rsid w:val="000121CC"/>
    <w:rsid w:val="0001290D"/>
    <w:rsid w:val="00031259"/>
    <w:rsid w:val="00032135"/>
    <w:rsid w:val="0004102A"/>
    <w:rsid w:val="00083BB9"/>
    <w:rsid w:val="00090241"/>
    <w:rsid w:val="000B0FC5"/>
    <w:rsid w:val="000B478A"/>
    <w:rsid w:val="000C1665"/>
    <w:rsid w:val="000E657C"/>
    <w:rsid w:val="000F3928"/>
    <w:rsid w:val="00132FA5"/>
    <w:rsid w:val="001549AB"/>
    <w:rsid w:val="00166EF5"/>
    <w:rsid w:val="00173EF3"/>
    <w:rsid w:val="00177D05"/>
    <w:rsid w:val="001B6A8B"/>
    <w:rsid w:val="001C3691"/>
    <w:rsid w:val="001D7E96"/>
    <w:rsid w:val="001E2057"/>
    <w:rsid w:val="001F196C"/>
    <w:rsid w:val="0020322E"/>
    <w:rsid w:val="00204C28"/>
    <w:rsid w:val="002075D6"/>
    <w:rsid w:val="00211E44"/>
    <w:rsid w:val="0022680E"/>
    <w:rsid w:val="00233312"/>
    <w:rsid w:val="00233EAD"/>
    <w:rsid w:val="00235CC4"/>
    <w:rsid w:val="00236CBA"/>
    <w:rsid w:val="00242A49"/>
    <w:rsid w:val="002470FB"/>
    <w:rsid w:val="0026446A"/>
    <w:rsid w:val="00265675"/>
    <w:rsid w:val="0027595D"/>
    <w:rsid w:val="00284D22"/>
    <w:rsid w:val="00290EE5"/>
    <w:rsid w:val="0029189F"/>
    <w:rsid w:val="002C26B3"/>
    <w:rsid w:val="002E6DE4"/>
    <w:rsid w:val="002F0DD3"/>
    <w:rsid w:val="00313845"/>
    <w:rsid w:val="003274BB"/>
    <w:rsid w:val="0033389C"/>
    <w:rsid w:val="0034427F"/>
    <w:rsid w:val="00361BC2"/>
    <w:rsid w:val="003751FE"/>
    <w:rsid w:val="00377450"/>
    <w:rsid w:val="003B4F53"/>
    <w:rsid w:val="003D0622"/>
    <w:rsid w:val="003F363E"/>
    <w:rsid w:val="00427B75"/>
    <w:rsid w:val="0045729A"/>
    <w:rsid w:val="00474EB9"/>
    <w:rsid w:val="004A0196"/>
    <w:rsid w:val="004A135C"/>
    <w:rsid w:val="004A6E3D"/>
    <w:rsid w:val="004F1233"/>
    <w:rsid w:val="00521C93"/>
    <w:rsid w:val="00533198"/>
    <w:rsid w:val="0055558F"/>
    <w:rsid w:val="00562523"/>
    <w:rsid w:val="00571754"/>
    <w:rsid w:val="00577E4D"/>
    <w:rsid w:val="00593FAA"/>
    <w:rsid w:val="005941AD"/>
    <w:rsid w:val="00594F77"/>
    <w:rsid w:val="005972F2"/>
    <w:rsid w:val="005A1C56"/>
    <w:rsid w:val="005A6229"/>
    <w:rsid w:val="005C4151"/>
    <w:rsid w:val="005C6E34"/>
    <w:rsid w:val="005D099A"/>
    <w:rsid w:val="00601AA4"/>
    <w:rsid w:val="006061B1"/>
    <w:rsid w:val="00625655"/>
    <w:rsid w:val="0063308E"/>
    <w:rsid w:val="00671D57"/>
    <w:rsid w:val="00674247"/>
    <w:rsid w:val="00675F7F"/>
    <w:rsid w:val="0068009B"/>
    <w:rsid w:val="006840C8"/>
    <w:rsid w:val="006A1772"/>
    <w:rsid w:val="006A50AB"/>
    <w:rsid w:val="006B2789"/>
    <w:rsid w:val="006B38D2"/>
    <w:rsid w:val="006B74DE"/>
    <w:rsid w:val="006D473C"/>
    <w:rsid w:val="006F05D8"/>
    <w:rsid w:val="006F514F"/>
    <w:rsid w:val="007021CA"/>
    <w:rsid w:val="00745139"/>
    <w:rsid w:val="00761392"/>
    <w:rsid w:val="007620AB"/>
    <w:rsid w:val="00771954"/>
    <w:rsid w:val="007733CC"/>
    <w:rsid w:val="007A3FF1"/>
    <w:rsid w:val="007E227D"/>
    <w:rsid w:val="008150C7"/>
    <w:rsid w:val="00835E27"/>
    <w:rsid w:val="00850FE1"/>
    <w:rsid w:val="00873266"/>
    <w:rsid w:val="00890B5A"/>
    <w:rsid w:val="008B0A07"/>
    <w:rsid w:val="008C63D4"/>
    <w:rsid w:val="008C68B5"/>
    <w:rsid w:val="008E5B24"/>
    <w:rsid w:val="008F444E"/>
    <w:rsid w:val="008F44E0"/>
    <w:rsid w:val="009041BA"/>
    <w:rsid w:val="009204C2"/>
    <w:rsid w:val="00937D4F"/>
    <w:rsid w:val="00952E19"/>
    <w:rsid w:val="0095616D"/>
    <w:rsid w:val="009629BF"/>
    <w:rsid w:val="009646E4"/>
    <w:rsid w:val="00986DF9"/>
    <w:rsid w:val="009A5D30"/>
    <w:rsid w:val="009E762B"/>
    <w:rsid w:val="00A028B8"/>
    <w:rsid w:val="00A11EAD"/>
    <w:rsid w:val="00A21F1D"/>
    <w:rsid w:val="00A363FB"/>
    <w:rsid w:val="00A45CF6"/>
    <w:rsid w:val="00A56E8C"/>
    <w:rsid w:val="00A90AFD"/>
    <w:rsid w:val="00A90E68"/>
    <w:rsid w:val="00AB00FF"/>
    <w:rsid w:val="00AB5062"/>
    <w:rsid w:val="00AE785C"/>
    <w:rsid w:val="00AF3C0E"/>
    <w:rsid w:val="00AF56AF"/>
    <w:rsid w:val="00AF618A"/>
    <w:rsid w:val="00B072C7"/>
    <w:rsid w:val="00B146CE"/>
    <w:rsid w:val="00B20DB5"/>
    <w:rsid w:val="00B4253C"/>
    <w:rsid w:val="00B43E9A"/>
    <w:rsid w:val="00B64B20"/>
    <w:rsid w:val="00B971D2"/>
    <w:rsid w:val="00BA5F0A"/>
    <w:rsid w:val="00BC1D64"/>
    <w:rsid w:val="00BC368C"/>
    <w:rsid w:val="00BF0FF6"/>
    <w:rsid w:val="00BF79C3"/>
    <w:rsid w:val="00C87529"/>
    <w:rsid w:val="00C91A8B"/>
    <w:rsid w:val="00CB6C35"/>
    <w:rsid w:val="00CC1AA3"/>
    <w:rsid w:val="00CC3018"/>
    <w:rsid w:val="00CC570B"/>
    <w:rsid w:val="00CC6DF2"/>
    <w:rsid w:val="00CE6774"/>
    <w:rsid w:val="00D13AD5"/>
    <w:rsid w:val="00D262A1"/>
    <w:rsid w:val="00D300AE"/>
    <w:rsid w:val="00D31995"/>
    <w:rsid w:val="00D400E5"/>
    <w:rsid w:val="00D42D6D"/>
    <w:rsid w:val="00D4446A"/>
    <w:rsid w:val="00D45D97"/>
    <w:rsid w:val="00D65C78"/>
    <w:rsid w:val="00D84228"/>
    <w:rsid w:val="00D9409F"/>
    <w:rsid w:val="00DA2EE4"/>
    <w:rsid w:val="00DB0018"/>
    <w:rsid w:val="00DC0A72"/>
    <w:rsid w:val="00E01D4E"/>
    <w:rsid w:val="00E03740"/>
    <w:rsid w:val="00E45A8D"/>
    <w:rsid w:val="00E60A6A"/>
    <w:rsid w:val="00E76FC6"/>
    <w:rsid w:val="00E77585"/>
    <w:rsid w:val="00E81BEA"/>
    <w:rsid w:val="00E83471"/>
    <w:rsid w:val="00EA0321"/>
    <w:rsid w:val="00EC0C66"/>
    <w:rsid w:val="00EF5C33"/>
    <w:rsid w:val="00F65A0F"/>
    <w:rsid w:val="00F67BC9"/>
    <w:rsid w:val="00F71DB6"/>
    <w:rsid w:val="00FC537A"/>
    <w:rsid w:val="00FE74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CBA05A"/>
  <w14:defaultImageDpi w14:val="0"/>
  <w15:docId w15:val="{6F26EFA9-9600-4F83-8463-F1C1714F9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footnote reference" w:semiHidden="1"/>
    <w:lsdException w:name="page number" w:semiHidden="1"/>
    <w:lsdException w:name="List Number" w:semiHidden="1" w:unhideWhenUsed="1"/>
    <w:lsdException w:name="List 4" w:semiHidden="1" w:unhideWhenUsed="1"/>
    <w:lsdException w:name="List 5" w:semiHidden="1" w:unhideWhenUsed="1"/>
    <w:lsdException w:name="Title" w:qFormat="1"/>
    <w:lsdException w:name="Closing" w:semiHidden="1"/>
    <w:lsdException w:name="Signature" w:semiHidden="1"/>
    <w:lsdException w:name="Default Paragraph Font" w:semiHidden="1"/>
    <w:lsdException w:name="Body Text" w:semiHidden="1"/>
    <w:lsdException w:name="Subtitle" w:uiPriority="11" w:qFormat="1"/>
    <w:lsdException w:name="Salutation" w:semiHidden="1" w:unhideWhenUsed="1"/>
    <w:lsdException w:name="Date" w:semiHidden="1"/>
    <w:lsdException w:name="Body Text First Indent" w:semiHidden="1" w:unhideWhenUsed="1"/>
    <w:lsdException w:name="Body Text 2"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spacing w:after="0" w:line="240" w:lineRule="auto"/>
    </w:pPr>
    <w:rPr>
      <w:sz w:val="24"/>
      <w:szCs w:val="24"/>
    </w:rPr>
  </w:style>
  <w:style w:type="paragraph" w:styleId="Heading1">
    <w:name w:val="heading 1"/>
    <w:basedOn w:val="Normal"/>
    <w:next w:val="Normal"/>
    <w:link w:val="Heading1Char"/>
    <w:uiPriority w:val="99"/>
    <w:qFormat/>
    <w:pPr>
      <w:keepNext/>
      <w:widowControl/>
      <w:jc w:val="center"/>
      <w:outlineLvl w:val="0"/>
    </w:pPr>
    <w:rPr>
      <w:b/>
      <w:bCs/>
    </w:rPr>
  </w:style>
  <w:style w:type="paragraph" w:styleId="Heading2">
    <w:name w:val="heading 2"/>
    <w:basedOn w:val="Normal"/>
    <w:next w:val="Normal"/>
    <w:link w:val="Heading2Char"/>
    <w:uiPriority w:val="99"/>
    <w:qFormat/>
    <w:pPr>
      <w:keepNext/>
      <w:widowControl/>
      <w:jc w:val="center"/>
      <w:outlineLvl w:val="1"/>
    </w:pPr>
    <w:rPr>
      <w:b/>
      <w:bCs/>
      <w:sz w:val="28"/>
      <w:szCs w:val="28"/>
    </w:rPr>
  </w:style>
  <w:style w:type="paragraph" w:styleId="Heading3">
    <w:name w:val="heading 3"/>
    <w:basedOn w:val="Normal"/>
    <w:next w:val="Normal"/>
    <w:link w:val="Heading3Char"/>
    <w:uiPriority w:val="99"/>
    <w:qFormat/>
    <w:pPr>
      <w:keepNext/>
      <w:widowControl/>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styleId="FootnoteReference">
    <w:name w:val="footnote reference"/>
    <w:basedOn w:val="DefaultParagraphFont"/>
    <w:uiPriority w:val="99"/>
    <w:semiHidden/>
    <w:rPr>
      <w:rFonts w:cs="Times New Roman"/>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emiHidden/>
    <w:locked/>
    <w:rPr>
      <w:rFonts w:cs="Times New Roman"/>
      <w:sz w:val="24"/>
      <w:szCs w:val="24"/>
    </w:rPr>
  </w:style>
  <w:style w:type="paragraph" w:customStyle="1" w:styleId="ReferenceLine">
    <w:name w:val="Reference Line"/>
    <w:basedOn w:val="BodyText"/>
    <w:uiPriority w:val="99"/>
  </w:style>
  <w:style w:type="paragraph" w:styleId="Closing">
    <w:name w:val="Closing"/>
    <w:basedOn w:val="Normal"/>
    <w:link w:val="ClosingChar"/>
    <w:uiPriority w:val="99"/>
    <w:pPr>
      <w:ind w:left="4320"/>
    </w:pPr>
  </w:style>
  <w:style w:type="character" w:customStyle="1" w:styleId="ClosingChar">
    <w:name w:val="Closing Char"/>
    <w:basedOn w:val="DefaultParagraphFont"/>
    <w:link w:val="Closing"/>
    <w:uiPriority w:val="99"/>
    <w:semiHidden/>
    <w:locked/>
    <w:rPr>
      <w:rFonts w:cs="Times New Roman"/>
      <w:sz w:val="24"/>
      <w:szCs w:val="24"/>
    </w:rPr>
  </w:style>
  <w:style w:type="paragraph" w:styleId="Signature">
    <w:name w:val="Signature"/>
    <w:basedOn w:val="Normal"/>
    <w:link w:val="SignatureChar"/>
    <w:uiPriority w:val="99"/>
    <w:pPr>
      <w:ind w:left="4320"/>
    </w:pPr>
  </w:style>
  <w:style w:type="character" w:customStyle="1" w:styleId="SignatureChar">
    <w:name w:val="Signature Char"/>
    <w:basedOn w:val="DefaultParagraphFont"/>
    <w:link w:val="Signature"/>
    <w:uiPriority w:val="99"/>
    <w:semiHidden/>
    <w:locked/>
    <w:rPr>
      <w:rFonts w:cs="Times New Roman"/>
      <w:sz w:val="24"/>
      <w:szCs w:val="24"/>
    </w:rPr>
  </w:style>
  <w:style w:type="paragraph" w:customStyle="1" w:styleId="CcList">
    <w:name w:val="Cc List"/>
    <w:basedOn w:val="Normal"/>
    <w:uiPriority w:val="99"/>
  </w:style>
  <w:style w:type="paragraph" w:styleId="Date">
    <w:name w:val="Date"/>
    <w:basedOn w:val="Normal"/>
    <w:next w:val="Normal"/>
    <w:link w:val="DateChar"/>
    <w:uiPriority w:val="99"/>
    <w:pPr>
      <w:ind w:left="4320"/>
    </w:pPr>
  </w:style>
  <w:style w:type="character" w:customStyle="1" w:styleId="DateChar">
    <w:name w:val="Date Char"/>
    <w:basedOn w:val="DefaultParagraphFont"/>
    <w:link w:val="Date"/>
    <w:uiPriority w:val="99"/>
    <w:semiHidden/>
    <w:locked/>
    <w:rPr>
      <w:rFonts w:cs="Times New Roman"/>
      <w:sz w:val="24"/>
      <w:szCs w:val="24"/>
    </w:rPr>
  </w:style>
  <w:style w:type="paragraph" w:styleId="BodyText2">
    <w:name w:val="Body Text 2"/>
    <w:basedOn w:val="Normal"/>
    <w:link w:val="BodyText2Char"/>
    <w:uiPriority w:val="99"/>
    <w:pPr>
      <w:spacing w:line="240" w:lineRule="atLeast"/>
      <w:jc w:val="both"/>
    </w:pPr>
    <w:rPr>
      <w:rFonts w:ascii="Tms Rmn" w:hAnsi="Tms Rmn" w:cs="Tms Rmn"/>
      <w:color w:val="000000"/>
    </w:rPr>
  </w:style>
  <w:style w:type="character" w:customStyle="1" w:styleId="BodyText2Char">
    <w:name w:val="Body Text 2 Char"/>
    <w:basedOn w:val="DefaultParagraphFont"/>
    <w:link w:val="BodyText2"/>
    <w:uiPriority w:val="99"/>
    <w:semiHidden/>
    <w:locked/>
    <w:rPr>
      <w:rFonts w:cs="Times New Roman"/>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4"/>
      <w:szCs w:val="24"/>
    </w:rPr>
  </w:style>
  <w:style w:type="paragraph" w:styleId="Title">
    <w:name w:val="Title"/>
    <w:basedOn w:val="Normal"/>
    <w:link w:val="TitleChar"/>
    <w:uiPriority w:val="99"/>
    <w:qFormat/>
    <w:pPr>
      <w:widowControl/>
      <w:jc w:val="center"/>
    </w:pPr>
    <w:rPr>
      <w:b/>
      <w:bCs/>
    </w:rPr>
  </w:style>
  <w:style w:type="character" w:customStyle="1" w:styleId="TitleChar">
    <w:name w:val="Title Char"/>
    <w:basedOn w:val="DefaultParagraphFont"/>
    <w:link w:val="Title"/>
    <w:uiPriority w:val="99"/>
    <w:locked/>
    <w:rPr>
      <w:rFonts w:asciiTheme="majorHAnsi" w:eastAsiaTheme="majorEastAsia" w:hAnsiTheme="majorHAnsi" w:cs="Times New Roman"/>
      <w:b/>
      <w:bCs/>
      <w:kern w:val="28"/>
      <w:sz w:val="32"/>
      <w:szCs w:val="32"/>
    </w:rPr>
  </w:style>
  <w:style w:type="character" w:styleId="PageNumber">
    <w:name w:val="page number"/>
    <w:basedOn w:val="DefaultParagraphFont"/>
    <w:uiPriority w:val="99"/>
    <w:rPr>
      <w:rFonts w:cs="Times New Roman"/>
    </w:rPr>
  </w:style>
  <w:style w:type="paragraph" w:styleId="BalloonText">
    <w:name w:val="Balloon Text"/>
    <w:basedOn w:val="Normal"/>
    <w:link w:val="BalloonTextChar"/>
    <w:uiPriority w:val="99"/>
    <w:rsid w:val="00671D57"/>
    <w:rPr>
      <w:rFonts w:ascii="Segoe UI" w:hAnsi="Segoe UI" w:cs="Segoe UI"/>
      <w:sz w:val="18"/>
      <w:szCs w:val="18"/>
    </w:rPr>
  </w:style>
  <w:style w:type="character" w:customStyle="1" w:styleId="BalloonTextChar">
    <w:name w:val="Balloon Text Char"/>
    <w:basedOn w:val="DefaultParagraphFont"/>
    <w:link w:val="BalloonText"/>
    <w:uiPriority w:val="99"/>
    <w:locked/>
    <w:rsid w:val="00671D57"/>
    <w:rPr>
      <w:rFonts w:ascii="Segoe UI" w:hAnsi="Segoe UI" w:cs="Segoe UI"/>
      <w:sz w:val="18"/>
      <w:szCs w:val="18"/>
    </w:rPr>
  </w:style>
  <w:style w:type="table" w:styleId="TableGrid">
    <w:name w:val="Table Grid"/>
    <w:basedOn w:val="TableNormal"/>
    <w:uiPriority w:val="99"/>
    <w:rsid w:val="00233E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A363FB"/>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1"/>
    <w:qFormat/>
    <w:rsid w:val="00132FA5"/>
    <w:pPr>
      <w:autoSpaceDE w:val="0"/>
      <w:autoSpaceDN w:val="0"/>
      <w:spacing w:after="0" w:line="240" w:lineRule="auto"/>
    </w:pPr>
    <w:rPr>
      <w:sz w:val="20"/>
      <w:szCs w:val="20"/>
    </w:rPr>
  </w:style>
  <w:style w:type="paragraph" w:styleId="Revision">
    <w:name w:val="Revision"/>
    <w:hidden/>
    <w:uiPriority w:val="99"/>
    <w:semiHidden/>
    <w:rsid w:val="00AB00FF"/>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64135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I:\TEMPLATES\EPD\enSite%20Let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2B5BC-4D29-4253-9712-D12E57EE5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enSite Letter.dot</Template>
  <TotalTime>456</TotalTime>
  <Pages>4</Pages>
  <Words>1467</Words>
  <Characters>8362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afgafgasdgfsd</vt:lpstr>
    </vt:vector>
  </TitlesOfParts>
  <Company>None</Company>
  <LinksUpToDate>false</LinksUpToDate>
  <CharactersWithSpaces>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afgafgasdgfsd</dc:title>
  <dc:subject/>
  <dc:creator>Bruce Ferguson</dc:creator>
  <cp:keywords/>
  <dc:description/>
  <cp:lastModifiedBy>Ryan Wigginton</cp:lastModifiedBy>
  <cp:revision>138</cp:revision>
  <cp:lastPrinted>2019-01-10T15:50:00Z</cp:lastPrinted>
  <dcterms:created xsi:type="dcterms:W3CDTF">2026-05-13T00:36:00Z</dcterms:created>
  <dcterms:modified xsi:type="dcterms:W3CDTF">2026-07-21T17:09:00Z</dcterms:modified>
</cp:coreProperties>
</file>