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35CACF" w14:textId="77777777" w:rsidR="005E1C12" w:rsidRDefault="005E1C12">
      <w:pPr>
        <w:jc w:val="center"/>
        <w:rPr>
          <w:b/>
          <w:bCs/>
          <w:sz w:val="32"/>
          <w:szCs w:val="32"/>
        </w:rPr>
      </w:pPr>
      <w:r>
        <w:rPr>
          <w:b/>
          <w:bCs/>
          <w:sz w:val="32"/>
          <w:szCs w:val="32"/>
        </w:rPr>
        <w:t>INFORMATION RELATIVE TO</w:t>
      </w:r>
      <w:r w:rsidR="00CC1957">
        <w:rPr>
          <w:b/>
          <w:bCs/>
          <w:sz w:val="32"/>
          <w:szCs w:val="32"/>
        </w:rPr>
        <w:t xml:space="preserve"> </w:t>
      </w:r>
    </w:p>
    <w:p w14:paraId="45B23BA5" w14:textId="63623AF4" w:rsidR="005E1C12" w:rsidRDefault="005E1C12">
      <w:pPr>
        <w:jc w:val="center"/>
        <w:rPr>
          <w:b/>
          <w:bCs/>
          <w:sz w:val="32"/>
          <w:szCs w:val="32"/>
        </w:rPr>
      </w:pPr>
      <w:r>
        <w:rPr>
          <w:b/>
          <w:bCs/>
          <w:sz w:val="32"/>
          <w:szCs w:val="32"/>
        </w:rPr>
        <w:t>THE TITLE V OPERATING PERMIT</w:t>
      </w:r>
    </w:p>
    <w:bookmarkStart w:id="0" w:name="Text6"/>
    <w:p w14:paraId="61A6F79D" w14:textId="77777777" w:rsidR="007E6D99" w:rsidRDefault="00C53F3A">
      <w:pPr>
        <w:jc w:val="center"/>
        <w:rPr>
          <w:b/>
          <w:bCs/>
          <w:sz w:val="32"/>
          <w:szCs w:val="32"/>
        </w:rPr>
      </w:pPr>
      <w:r>
        <w:rPr>
          <w:b/>
          <w:bCs/>
          <w:sz w:val="32"/>
          <w:szCs w:val="32"/>
        </w:rPr>
        <w:fldChar w:fldCharType="begin">
          <w:ffData>
            <w:name w:val="Text6"/>
            <w:enabled/>
            <w:calcOnExit w:val="0"/>
            <w:textInput>
              <w:default w:val="[Insert Date]"/>
            </w:textInput>
          </w:ffData>
        </w:fldChar>
      </w:r>
      <w:r>
        <w:rPr>
          <w:b/>
          <w:bCs/>
          <w:sz w:val="32"/>
          <w:szCs w:val="32"/>
        </w:rPr>
        <w:instrText xml:space="preserve"> FORMTEXT </w:instrText>
      </w:r>
      <w:r>
        <w:rPr>
          <w:b/>
          <w:bCs/>
          <w:sz w:val="32"/>
          <w:szCs w:val="32"/>
        </w:rPr>
      </w:r>
      <w:r>
        <w:rPr>
          <w:b/>
          <w:bCs/>
          <w:sz w:val="32"/>
          <w:szCs w:val="32"/>
        </w:rPr>
        <w:fldChar w:fldCharType="separate"/>
      </w:r>
      <w:r>
        <w:rPr>
          <w:b/>
          <w:bCs/>
          <w:noProof/>
          <w:sz w:val="32"/>
          <w:szCs w:val="32"/>
        </w:rPr>
        <w:t>[Insert Date]</w:t>
      </w:r>
      <w:r>
        <w:rPr>
          <w:b/>
          <w:bCs/>
          <w:sz w:val="32"/>
          <w:szCs w:val="32"/>
        </w:rPr>
        <w:fldChar w:fldCharType="end"/>
      </w:r>
      <w:bookmarkEnd w:id="0"/>
    </w:p>
    <w:p w14:paraId="5D763799" w14:textId="77777777" w:rsidR="005E1C12" w:rsidRDefault="005E1C12">
      <w:pPr>
        <w:jc w:val="center"/>
        <w:rPr>
          <w:sz w:val="24"/>
          <w:szCs w:val="24"/>
        </w:rPr>
      </w:pPr>
    </w:p>
    <w:p w14:paraId="1B3FC233" w14:textId="77777777" w:rsidR="005E1C12" w:rsidRPr="006A52EB" w:rsidRDefault="006A52EB" w:rsidP="006A52EB">
      <w:pPr>
        <w:rPr>
          <w:sz w:val="24"/>
          <w:szCs w:val="24"/>
          <w:u w:val="single"/>
        </w:rPr>
      </w:pPr>
      <w:r w:rsidRPr="006A52EB">
        <w:rPr>
          <w:sz w:val="24"/>
          <w:szCs w:val="24"/>
          <w:u w:val="single"/>
        </w:rPr>
        <w:t>GENER</w:t>
      </w:r>
      <w:r>
        <w:rPr>
          <w:sz w:val="24"/>
          <w:szCs w:val="24"/>
          <w:u w:val="single"/>
        </w:rPr>
        <w:t>AL FACILITY INFORMATION</w:t>
      </w:r>
    </w:p>
    <w:p w14:paraId="7809DB4B" w14:textId="2F7FB6DB" w:rsidR="005E1C12" w:rsidRPr="006A52EB" w:rsidRDefault="006A52EB" w:rsidP="00CC5DA2">
      <w:pPr>
        <w:pStyle w:val="ReferenceLine"/>
        <w:widowControl/>
        <w:tabs>
          <w:tab w:val="left" w:pos="1620"/>
        </w:tabs>
        <w:spacing w:after="0"/>
        <w:ind w:left="1620" w:hanging="1620"/>
        <w:rPr>
          <w:bCs/>
        </w:rPr>
      </w:pPr>
      <w:r>
        <w:rPr>
          <w:b/>
          <w:bCs/>
        </w:rPr>
        <w:t>Facility Name:</w:t>
      </w:r>
      <w:r w:rsidR="00CC5DA2">
        <w:rPr>
          <w:b/>
          <w:bCs/>
        </w:rPr>
        <w:tab/>
      </w:r>
      <w:r w:rsidR="005E1C12" w:rsidRPr="006A52EB">
        <w:rPr>
          <w:bCs/>
        </w:rPr>
        <w:t xml:space="preserve">Greenway Environmental </w:t>
      </w:r>
      <w:proofErr w:type="gramStart"/>
      <w:r w:rsidR="005E1C12" w:rsidRPr="006A52EB">
        <w:rPr>
          <w:bCs/>
        </w:rPr>
        <w:t>Services</w:t>
      </w:r>
      <w:r w:rsidR="00CC5DA2">
        <w:rPr>
          <w:bCs/>
        </w:rPr>
        <w:t>,</w:t>
      </w:r>
      <w:proofErr w:type="gramEnd"/>
      <w:r w:rsidR="005E1C12" w:rsidRPr="006A52EB">
        <w:rPr>
          <w:bCs/>
        </w:rPr>
        <w:t xml:space="preserve"> LLC </w:t>
      </w:r>
      <w:r w:rsidR="00CC5DA2">
        <w:rPr>
          <w:bCs/>
        </w:rPr>
        <w:t>(d.b.a. Green Meadow Sustainable Solutions)</w:t>
      </w:r>
    </w:p>
    <w:p w14:paraId="4A80E47A" w14:textId="5F76608A" w:rsidR="005E1C12" w:rsidRPr="00577CB8" w:rsidRDefault="006A52EB" w:rsidP="00681AD1">
      <w:pPr>
        <w:tabs>
          <w:tab w:val="left" w:pos="90"/>
        </w:tabs>
        <w:rPr>
          <w:bCs/>
          <w:color w:val="000000"/>
          <w:sz w:val="24"/>
          <w:szCs w:val="24"/>
        </w:rPr>
      </w:pPr>
      <w:r w:rsidRPr="006A52EB">
        <w:rPr>
          <w:b/>
          <w:bCs/>
          <w:snapToGrid w:val="0"/>
          <w:color w:val="000000"/>
          <w:sz w:val="24"/>
          <w:szCs w:val="24"/>
        </w:rPr>
        <w:t>Facility Address:</w:t>
      </w:r>
      <w:r>
        <w:rPr>
          <w:bCs/>
          <w:snapToGrid w:val="0"/>
          <w:color w:val="000000"/>
          <w:sz w:val="24"/>
          <w:szCs w:val="24"/>
        </w:rPr>
        <w:t xml:space="preserve"> </w:t>
      </w:r>
      <w:r w:rsidR="005E1C12" w:rsidRPr="00577CB8">
        <w:rPr>
          <w:bCs/>
          <w:snapToGrid w:val="0"/>
          <w:color w:val="000000"/>
          <w:sz w:val="24"/>
          <w:szCs w:val="24"/>
        </w:rPr>
        <w:t>4451 Highway 61 North</w:t>
      </w:r>
      <w:r w:rsidR="00CC5DA2">
        <w:rPr>
          <w:bCs/>
          <w:snapToGrid w:val="0"/>
          <w:color w:val="000000"/>
          <w:sz w:val="24"/>
          <w:szCs w:val="24"/>
        </w:rPr>
        <w:t xml:space="preserve">; </w:t>
      </w:r>
      <w:r w:rsidR="005E1C12" w:rsidRPr="00577CB8">
        <w:rPr>
          <w:bCs/>
          <w:color w:val="000000"/>
          <w:sz w:val="24"/>
          <w:szCs w:val="24"/>
        </w:rPr>
        <w:t>Fayette, MS 39069</w:t>
      </w:r>
    </w:p>
    <w:p w14:paraId="4DC9F02A" w14:textId="77777777" w:rsidR="00CC1957" w:rsidRDefault="006A52EB" w:rsidP="00681AD1">
      <w:pPr>
        <w:pStyle w:val="ReferenceLine"/>
        <w:widowControl/>
        <w:spacing w:after="0"/>
      </w:pPr>
      <w:r>
        <w:rPr>
          <w:b/>
        </w:rPr>
        <w:t xml:space="preserve">County: </w:t>
      </w:r>
      <w:r w:rsidR="00CC1957" w:rsidRPr="006A52EB">
        <w:t>Jefferson</w:t>
      </w:r>
    </w:p>
    <w:p w14:paraId="570F5EE9" w14:textId="30B372D8" w:rsidR="00991620" w:rsidRPr="000C10C1" w:rsidRDefault="00991620" w:rsidP="00991620">
      <w:pPr>
        <w:pStyle w:val="ReferenceLine"/>
        <w:widowControl/>
        <w:spacing w:after="0"/>
        <w:rPr>
          <w:color w:val="FF0000"/>
        </w:rPr>
      </w:pPr>
      <w:r w:rsidRPr="00991620">
        <w:rPr>
          <w:b/>
        </w:rPr>
        <w:t xml:space="preserve">SIC Code(s): </w:t>
      </w:r>
      <w:r w:rsidR="005D7E4C">
        <w:t>4953</w:t>
      </w:r>
      <w:r w:rsidR="00E73A5A">
        <w:t xml:space="preserve"> (Refuse Systems)</w:t>
      </w:r>
    </w:p>
    <w:p w14:paraId="03B900D1" w14:textId="220CECA1" w:rsidR="006A52EB" w:rsidRDefault="00991620" w:rsidP="00681AD1">
      <w:pPr>
        <w:pStyle w:val="ReferenceLine"/>
        <w:widowControl/>
        <w:spacing w:after="0"/>
        <w:rPr>
          <w:b/>
        </w:rPr>
      </w:pPr>
      <w:r w:rsidRPr="00991620">
        <w:rPr>
          <w:b/>
        </w:rPr>
        <w:t>NAICS Code(s):</w:t>
      </w:r>
      <w:r>
        <w:t xml:space="preserve"> </w:t>
      </w:r>
      <w:r w:rsidR="00B14D72">
        <w:t xml:space="preserve">562212 </w:t>
      </w:r>
      <w:r w:rsidR="00E73A5A">
        <w:t>(Solid Waste Landfills)</w:t>
      </w:r>
    </w:p>
    <w:p w14:paraId="6B61022D" w14:textId="77777777" w:rsidR="00EA6AF2" w:rsidRDefault="00EA6AF2" w:rsidP="00681AD1">
      <w:pPr>
        <w:pStyle w:val="ReferenceLine"/>
        <w:widowControl/>
        <w:spacing w:after="0"/>
        <w:rPr>
          <w:u w:val="single"/>
        </w:rPr>
      </w:pPr>
    </w:p>
    <w:p w14:paraId="039D77A8" w14:textId="77777777" w:rsidR="00681AD1" w:rsidRPr="00681AD1" w:rsidRDefault="00681AD1" w:rsidP="00681AD1">
      <w:pPr>
        <w:pStyle w:val="ReferenceLine"/>
        <w:widowControl/>
        <w:spacing w:after="0"/>
        <w:rPr>
          <w:u w:val="single"/>
        </w:rPr>
      </w:pPr>
      <w:r>
        <w:rPr>
          <w:u w:val="single"/>
        </w:rPr>
        <w:t xml:space="preserve">APPLICATION SUMMARY </w:t>
      </w:r>
    </w:p>
    <w:tbl>
      <w:tblPr>
        <w:tblW w:w="0" w:type="auto"/>
        <w:tblLook w:val="04A0" w:firstRow="1" w:lastRow="0" w:firstColumn="1" w:lastColumn="0" w:noHBand="0" w:noVBand="1"/>
      </w:tblPr>
      <w:tblGrid>
        <w:gridCol w:w="5688"/>
        <w:gridCol w:w="3888"/>
      </w:tblGrid>
      <w:tr w:rsidR="00EA6AF2" w14:paraId="5B0CB1A2" w14:textId="77777777">
        <w:trPr>
          <w:trHeight w:val="2610"/>
        </w:trPr>
        <w:tc>
          <w:tcPr>
            <w:tcW w:w="5688" w:type="dxa"/>
          </w:tcPr>
          <w:p w14:paraId="4B040C85" w14:textId="77777777" w:rsidR="00EA6AF2" w:rsidRDefault="00EA6AF2">
            <w:pPr>
              <w:pStyle w:val="ReferenceLine"/>
              <w:widowControl/>
              <w:spacing w:before="60" w:after="60"/>
              <w:ind w:right="168"/>
              <w:rPr>
                <w:color w:val="FF0000"/>
              </w:rPr>
            </w:pPr>
            <w:r>
              <w:rPr>
                <w:b/>
              </w:rPr>
              <w:t xml:space="preserve">Permit No.: </w:t>
            </w:r>
            <w:r>
              <w:t>1320-00019</w:t>
            </w:r>
          </w:p>
          <w:p w14:paraId="756135C3" w14:textId="13393578" w:rsidR="00EA6AF2" w:rsidRDefault="00EA6AF2">
            <w:pPr>
              <w:pStyle w:val="ReferenceLine"/>
              <w:widowControl/>
              <w:spacing w:before="60" w:after="60"/>
              <w:ind w:right="168"/>
              <w:rPr>
                <w:color w:val="4F81BD"/>
              </w:rPr>
            </w:pPr>
            <w:r>
              <w:rPr>
                <w:b/>
              </w:rPr>
              <w:t xml:space="preserve">Permit Action: </w:t>
            </w:r>
            <w:r w:rsidR="00CC5DA2" w:rsidRPr="00CC5DA2">
              <w:t>Renewal (w/Significant Modification)</w:t>
            </w:r>
          </w:p>
          <w:p w14:paraId="2D5865D0" w14:textId="77777777" w:rsidR="00EA6AF2" w:rsidRDefault="00EA6AF2">
            <w:pPr>
              <w:pStyle w:val="ReferenceLine"/>
              <w:widowControl/>
              <w:spacing w:before="60" w:after="60"/>
              <w:ind w:right="168"/>
              <w:rPr>
                <w:color w:val="FF0000"/>
              </w:rPr>
            </w:pPr>
            <w:r>
              <w:rPr>
                <w:b/>
              </w:rPr>
              <w:t xml:space="preserve">Permit Folder: </w:t>
            </w:r>
            <w:r>
              <w:t>PER20160001</w:t>
            </w:r>
          </w:p>
          <w:p w14:paraId="3346ACA9" w14:textId="11EF50E6" w:rsidR="00EA6AF2" w:rsidRDefault="00EA6AF2">
            <w:pPr>
              <w:pStyle w:val="ReferenceLine"/>
              <w:widowControl/>
              <w:spacing w:before="60" w:after="60"/>
              <w:ind w:right="168"/>
              <w:rPr>
                <w:color w:val="FF0000"/>
              </w:rPr>
            </w:pPr>
            <w:r>
              <w:rPr>
                <w:b/>
              </w:rPr>
              <w:t xml:space="preserve">Application Receipt Date: </w:t>
            </w:r>
            <w:r w:rsidR="00061B42">
              <w:rPr>
                <w:bCs/>
                <w:szCs w:val="32"/>
              </w:rPr>
              <w:t>February 2</w:t>
            </w:r>
            <w:r w:rsidR="00CC5DA2">
              <w:rPr>
                <w:bCs/>
                <w:szCs w:val="32"/>
              </w:rPr>
              <w:t>, 2016 (initial); January 3, 2021 (revised); September 9, 2025 (revised)</w:t>
            </w:r>
          </w:p>
          <w:p w14:paraId="395AAFE7" w14:textId="7FECB09A" w:rsidR="00EA6AF2" w:rsidRPr="000C10C1" w:rsidRDefault="00EA6AF2">
            <w:pPr>
              <w:pStyle w:val="ReferenceLine"/>
              <w:widowControl/>
              <w:spacing w:before="60" w:after="60"/>
              <w:ind w:right="168"/>
            </w:pPr>
            <w:r>
              <w:rPr>
                <w:b/>
              </w:rPr>
              <w:t xml:space="preserve">Application Deemed Complete: </w:t>
            </w:r>
            <w:r w:rsidR="00CC5DA2" w:rsidRPr="00CC5DA2">
              <w:t>August 10, 2016</w:t>
            </w:r>
          </w:p>
          <w:p w14:paraId="671B08F5" w14:textId="7292A9FB" w:rsidR="00EA6AF2" w:rsidRDefault="00EA6AF2">
            <w:pPr>
              <w:pStyle w:val="ReferenceLine"/>
              <w:spacing w:before="60" w:after="60"/>
              <w:ind w:right="168"/>
              <w:rPr>
                <w:color w:val="FF0000"/>
              </w:rPr>
            </w:pPr>
            <w:r>
              <w:rPr>
                <w:b/>
              </w:rPr>
              <w:t xml:space="preserve">CBI </w:t>
            </w:r>
            <w:proofErr w:type="gramStart"/>
            <w:r>
              <w:rPr>
                <w:b/>
              </w:rPr>
              <w:t>Submitted?:</w:t>
            </w:r>
            <w:proofErr w:type="gramEnd"/>
            <w:r>
              <w:rPr>
                <w:b/>
              </w:rPr>
              <w:t xml:space="preserve"> </w:t>
            </w:r>
            <w:r w:rsidR="00CC5DA2" w:rsidRPr="00CC5DA2">
              <w:t>No</w:t>
            </w:r>
          </w:p>
        </w:tc>
        <w:tc>
          <w:tcPr>
            <w:tcW w:w="3888" w:type="dxa"/>
          </w:tcPr>
          <w:p w14:paraId="13338941" w14:textId="33B856D6" w:rsidR="00EA6AF2" w:rsidRPr="00577CB8" w:rsidRDefault="00EA6AF2">
            <w:pPr>
              <w:pStyle w:val="ReferenceLine"/>
              <w:widowControl/>
              <w:spacing w:before="60" w:after="60"/>
            </w:pPr>
            <w:r>
              <w:rPr>
                <w:b/>
              </w:rPr>
              <w:t xml:space="preserve">NSPS (Part 60): </w:t>
            </w:r>
            <w:r w:rsidR="00CC5DA2">
              <w:rPr>
                <w:bCs/>
              </w:rPr>
              <w:t>XXX</w:t>
            </w:r>
          </w:p>
          <w:p w14:paraId="3B254BD2" w14:textId="7ECFF5FE" w:rsidR="00EA6AF2" w:rsidRDefault="00EA6AF2">
            <w:pPr>
              <w:pStyle w:val="ReferenceLine"/>
              <w:widowControl/>
              <w:spacing w:before="60" w:after="60"/>
              <w:rPr>
                <w:b/>
              </w:rPr>
            </w:pPr>
            <w:r>
              <w:rPr>
                <w:b/>
              </w:rPr>
              <w:t>NESHAP (Part 61):</w:t>
            </w:r>
            <w:r w:rsidRPr="00CC5DA2">
              <w:t xml:space="preserve"> </w:t>
            </w:r>
            <w:r w:rsidR="00CC5DA2" w:rsidRPr="00CC5DA2">
              <w:t>M</w:t>
            </w:r>
          </w:p>
          <w:p w14:paraId="20DA7C86" w14:textId="70F4FF3C" w:rsidR="00EA6AF2" w:rsidRDefault="00EA6AF2">
            <w:pPr>
              <w:pStyle w:val="ReferenceLine"/>
              <w:widowControl/>
              <w:spacing w:before="60" w:after="60"/>
              <w:rPr>
                <w:b/>
              </w:rPr>
            </w:pPr>
            <w:r>
              <w:rPr>
                <w:b/>
              </w:rPr>
              <w:t xml:space="preserve">NESHAP (Part 63): </w:t>
            </w:r>
            <w:r w:rsidR="00CC5DA2" w:rsidRPr="00CC5DA2">
              <w:t>N/A</w:t>
            </w:r>
          </w:p>
          <w:p w14:paraId="78E7F439" w14:textId="7770AD50" w:rsidR="00EA6AF2" w:rsidRDefault="00EA6AF2">
            <w:pPr>
              <w:pStyle w:val="ReferenceLine"/>
              <w:widowControl/>
              <w:spacing w:before="60" w:after="60"/>
              <w:rPr>
                <w:b/>
              </w:rPr>
            </w:pPr>
            <w:r>
              <w:rPr>
                <w:b/>
              </w:rPr>
              <w:t xml:space="preserve">112(r) / RMP: </w:t>
            </w:r>
            <w:r w:rsidR="00CC5DA2" w:rsidRPr="00CC5DA2">
              <w:t>N/A</w:t>
            </w:r>
          </w:p>
          <w:p w14:paraId="75911CD9" w14:textId="501326FE" w:rsidR="00EA6AF2" w:rsidRPr="00577CB8" w:rsidRDefault="00EA6AF2">
            <w:pPr>
              <w:pStyle w:val="ReferenceLine"/>
              <w:spacing w:before="60" w:after="60"/>
            </w:pPr>
            <w:r>
              <w:rPr>
                <w:b/>
              </w:rPr>
              <w:t xml:space="preserve">Other: </w:t>
            </w:r>
            <w:r w:rsidR="00CC5DA2" w:rsidRPr="00CC5DA2">
              <w:t>N/A</w:t>
            </w:r>
          </w:p>
        </w:tc>
      </w:tr>
    </w:tbl>
    <w:p w14:paraId="110776FC" w14:textId="77777777" w:rsidR="00681AD1" w:rsidRDefault="00681AD1" w:rsidP="00681AD1">
      <w:pPr>
        <w:pStyle w:val="ReferenceLine"/>
        <w:widowControl/>
        <w:spacing w:after="0"/>
        <w:rPr>
          <w:b/>
        </w:rPr>
      </w:pPr>
    </w:p>
    <w:p w14:paraId="666C60EF" w14:textId="77777777" w:rsidR="00531513" w:rsidRDefault="00531513" w:rsidP="00104CE2">
      <w:pPr>
        <w:jc w:val="both"/>
        <w:rPr>
          <w:sz w:val="24"/>
          <w:szCs w:val="24"/>
        </w:rPr>
      </w:pPr>
      <w:r>
        <w:rPr>
          <w:sz w:val="24"/>
          <w:szCs w:val="24"/>
          <w:u w:val="single"/>
        </w:rPr>
        <w:t>FACILITY DESCRIPTION</w:t>
      </w:r>
    </w:p>
    <w:p w14:paraId="66CFA449" w14:textId="4CFAADC7" w:rsidR="00E60EA3" w:rsidRDefault="00CC5DA2" w:rsidP="00CC5DA2">
      <w:pPr>
        <w:jc w:val="both"/>
        <w:rPr>
          <w:bCs/>
          <w:sz w:val="24"/>
          <w:szCs w:val="24"/>
        </w:rPr>
      </w:pPr>
      <w:r w:rsidRPr="00CC5DA2">
        <w:rPr>
          <w:bCs/>
          <w:sz w:val="24"/>
          <w:szCs w:val="24"/>
        </w:rPr>
        <w:t>Greenway Environmental Services, LLC (</w:t>
      </w:r>
      <w:r>
        <w:rPr>
          <w:bCs/>
          <w:sz w:val="24"/>
          <w:szCs w:val="24"/>
        </w:rPr>
        <w:t xml:space="preserve">doing business as </w:t>
      </w:r>
      <w:r w:rsidRPr="00CC5DA2">
        <w:rPr>
          <w:bCs/>
          <w:sz w:val="24"/>
          <w:szCs w:val="24"/>
        </w:rPr>
        <w:t>Green Meadow Sustainable Solutions)</w:t>
      </w:r>
      <w:r>
        <w:rPr>
          <w:bCs/>
          <w:sz w:val="24"/>
          <w:szCs w:val="24"/>
        </w:rPr>
        <w:t xml:space="preserve"> (“Greenway”) is an existing municipal solid waste (MSW) landfill that accepts n</w:t>
      </w:r>
      <w:r w:rsidRPr="00CC5DA2">
        <w:rPr>
          <w:bCs/>
          <w:sz w:val="24"/>
          <w:szCs w:val="24"/>
        </w:rPr>
        <w:t>on-hazardous solid waste from residential, industrial,</w:t>
      </w:r>
      <w:r>
        <w:rPr>
          <w:bCs/>
          <w:sz w:val="24"/>
          <w:szCs w:val="24"/>
        </w:rPr>
        <w:t xml:space="preserve"> </w:t>
      </w:r>
      <w:r w:rsidRPr="00CC5DA2">
        <w:rPr>
          <w:bCs/>
          <w:sz w:val="24"/>
          <w:szCs w:val="24"/>
        </w:rPr>
        <w:t>and institutional sources</w:t>
      </w:r>
      <w:r>
        <w:rPr>
          <w:bCs/>
          <w:sz w:val="24"/>
          <w:szCs w:val="24"/>
        </w:rPr>
        <w:t xml:space="preserve"> (which includes – but not limited to – </w:t>
      </w:r>
      <w:r w:rsidRPr="00CC5DA2">
        <w:rPr>
          <w:bCs/>
          <w:sz w:val="24"/>
          <w:szCs w:val="24"/>
        </w:rPr>
        <w:t>household</w:t>
      </w:r>
      <w:r>
        <w:rPr>
          <w:bCs/>
          <w:sz w:val="24"/>
          <w:szCs w:val="24"/>
        </w:rPr>
        <w:t xml:space="preserve"> waste</w:t>
      </w:r>
      <w:r w:rsidRPr="00CC5DA2">
        <w:rPr>
          <w:bCs/>
          <w:sz w:val="24"/>
          <w:szCs w:val="24"/>
        </w:rPr>
        <w:t>, commercial</w:t>
      </w:r>
      <w:r>
        <w:rPr>
          <w:bCs/>
          <w:sz w:val="24"/>
          <w:szCs w:val="24"/>
        </w:rPr>
        <w:t xml:space="preserve"> waste</w:t>
      </w:r>
      <w:r w:rsidRPr="00CC5DA2">
        <w:rPr>
          <w:bCs/>
          <w:sz w:val="24"/>
          <w:szCs w:val="24"/>
        </w:rPr>
        <w:t>, and industrial waste, rubbish,</w:t>
      </w:r>
      <w:r>
        <w:rPr>
          <w:bCs/>
          <w:sz w:val="24"/>
          <w:szCs w:val="24"/>
        </w:rPr>
        <w:t xml:space="preserve"> </w:t>
      </w:r>
      <w:r w:rsidRPr="00CC5DA2">
        <w:rPr>
          <w:bCs/>
          <w:sz w:val="24"/>
          <w:szCs w:val="24"/>
        </w:rPr>
        <w:t>construction debris, and demolition material</w:t>
      </w:r>
      <w:r w:rsidR="00E73A5A">
        <w:rPr>
          <w:bCs/>
          <w:sz w:val="24"/>
          <w:szCs w:val="24"/>
        </w:rPr>
        <w:t xml:space="preserve">).  </w:t>
      </w:r>
      <w:r w:rsidR="00061B42">
        <w:rPr>
          <w:bCs/>
          <w:sz w:val="24"/>
          <w:szCs w:val="24"/>
        </w:rPr>
        <w:t>On</w:t>
      </w:r>
      <w:r w:rsidR="00E73A5A">
        <w:rPr>
          <w:bCs/>
          <w:sz w:val="24"/>
          <w:szCs w:val="24"/>
        </w:rPr>
        <w:t xml:space="preserve"> </w:t>
      </w:r>
      <w:r w:rsidR="00061B42">
        <w:rPr>
          <w:bCs/>
          <w:sz w:val="24"/>
          <w:szCs w:val="24"/>
        </w:rPr>
        <w:t xml:space="preserve">November 3, </w:t>
      </w:r>
      <w:r w:rsidR="00E73A5A">
        <w:rPr>
          <w:bCs/>
          <w:sz w:val="24"/>
          <w:szCs w:val="24"/>
        </w:rPr>
        <w:t>2020, the MSW landfill was purchased by Greenway from Riverbend Environmental Services</w:t>
      </w:r>
      <w:r w:rsidR="00030726">
        <w:rPr>
          <w:bCs/>
          <w:sz w:val="24"/>
          <w:szCs w:val="24"/>
        </w:rPr>
        <w:t>, LLC</w:t>
      </w:r>
      <w:r w:rsidR="00E96C17">
        <w:rPr>
          <w:bCs/>
          <w:sz w:val="24"/>
          <w:szCs w:val="24"/>
        </w:rPr>
        <w:t xml:space="preserve"> (“Riverbend”)</w:t>
      </w:r>
      <w:r w:rsidR="00E73A5A">
        <w:rPr>
          <w:bCs/>
          <w:sz w:val="24"/>
          <w:szCs w:val="24"/>
        </w:rPr>
        <w:t>.</w:t>
      </w:r>
    </w:p>
    <w:p w14:paraId="416148BE" w14:textId="77777777" w:rsidR="00E73A5A" w:rsidRDefault="00E73A5A" w:rsidP="00CC5DA2">
      <w:pPr>
        <w:jc w:val="both"/>
        <w:rPr>
          <w:bCs/>
          <w:sz w:val="24"/>
          <w:szCs w:val="24"/>
        </w:rPr>
      </w:pPr>
    </w:p>
    <w:p w14:paraId="7B47FD8E" w14:textId="3D59ED4E" w:rsidR="00E73A5A" w:rsidRPr="00CC5DA2" w:rsidRDefault="00E73A5A" w:rsidP="00E73A5A">
      <w:pPr>
        <w:jc w:val="both"/>
        <w:rPr>
          <w:bCs/>
          <w:sz w:val="24"/>
          <w:szCs w:val="24"/>
        </w:rPr>
      </w:pPr>
      <w:r w:rsidRPr="00E73A5A">
        <w:rPr>
          <w:bCs/>
          <w:sz w:val="24"/>
          <w:szCs w:val="24"/>
        </w:rPr>
        <w:t xml:space="preserve">The </w:t>
      </w:r>
      <w:r w:rsidR="00030726">
        <w:rPr>
          <w:bCs/>
          <w:sz w:val="24"/>
          <w:szCs w:val="24"/>
        </w:rPr>
        <w:t xml:space="preserve">overall </w:t>
      </w:r>
      <w:r w:rsidRPr="00E73A5A">
        <w:rPr>
          <w:bCs/>
          <w:sz w:val="24"/>
          <w:szCs w:val="24"/>
        </w:rPr>
        <w:t xml:space="preserve">landfill consists of </w:t>
      </w:r>
      <w:r w:rsidR="00A5283F">
        <w:rPr>
          <w:bCs/>
          <w:sz w:val="24"/>
          <w:szCs w:val="24"/>
        </w:rPr>
        <w:t xml:space="preserve">an approximately </w:t>
      </w:r>
      <w:r w:rsidR="00D65A62">
        <w:rPr>
          <w:bCs/>
          <w:sz w:val="24"/>
          <w:szCs w:val="24"/>
        </w:rPr>
        <w:t>160.4-acre</w:t>
      </w:r>
      <w:r w:rsidR="00A5283F">
        <w:rPr>
          <w:bCs/>
          <w:sz w:val="24"/>
          <w:szCs w:val="24"/>
        </w:rPr>
        <w:t xml:space="preserve"> waste footprint with </w:t>
      </w:r>
      <w:r>
        <w:rPr>
          <w:bCs/>
          <w:sz w:val="24"/>
          <w:szCs w:val="24"/>
        </w:rPr>
        <w:t>twelve (</w:t>
      </w:r>
      <w:r w:rsidRPr="00E73A5A">
        <w:rPr>
          <w:bCs/>
          <w:sz w:val="24"/>
          <w:szCs w:val="24"/>
        </w:rPr>
        <w:t>12</w:t>
      </w:r>
      <w:r>
        <w:rPr>
          <w:bCs/>
          <w:sz w:val="24"/>
          <w:szCs w:val="24"/>
        </w:rPr>
        <w:t>)</w:t>
      </w:r>
      <w:r w:rsidRPr="00E73A5A">
        <w:rPr>
          <w:bCs/>
          <w:sz w:val="24"/>
          <w:szCs w:val="24"/>
        </w:rPr>
        <w:t xml:space="preserve"> </w:t>
      </w:r>
      <w:r>
        <w:rPr>
          <w:bCs/>
          <w:sz w:val="24"/>
          <w:szCs w:val="24"/>
        </w:rPr>
        <w:t>potential</w:t>
      </w:r>
      <w:r w:rsidRPr="00E73A5A">
        <w:rPr>
          <w:bCs/>
          <w:sz w:val="24"/>
          <w:szCs w:val="24"/>
        </w:rPr>
        <w:t xml:space="preserve"> </w:t>
      </w:r>
      <w:r w:rsidR="00030726">
        <w:rPr>
          <w:bCs/>
          <w:sz w:val="24"/>
          <w:szCs w:val="24"/>
        </w:rPr>
        <w:t xml:space="preserve">new </w:t>
      </w:r>
      <w:r w:rsidRPr="00E73A5A">
        <w:rPr>
          <w:bCs/>
          <w:sz w:val="24"/>
          <w:szCs w:val="24"/>
        </w:rPr>
        <w:t xml:space="preserve">cells </w:t>
      </w:r>
      <w:r w:rsidR="00030726">
        <w:rPr>
          <w:bCs/>
          <w:sz w:val="24"/>
          <w:szCs w:val="24"/>
        </w:rPr>
        <w:t xml:space="preserve">and seven (7) existing / active cells for </w:t>
      </w:r>
      <w:r w:rsidRPr="00E73A5A">
        <w:rPr>
          <w:bCs/>
          <w:sz w:val="24"/>
          <w:szCs w:val="24"/>
        </w:rPr>
        <w:t>a total capacity of approximately 23,557,000</w:t>
      </w:r>
      <w:r>
        <w:rPr>
          <w:bCs/>
          <w:sz w:val="24"/>
          <w:szCs w:val="24"/>
        </w:rPr>
        <w:t xml:space="preserve"> </w:t>
      </w:r>
      <w:r w:rsidRPr="00E73A5A">
        <w:rPr>
          <w:bCs/>
          <w:sz w:val="24"/>
          <w:szCs w:val="24"/>
        </w:rPr>
        <w:t>cubic yards (</w:t>
      </w:r>
      <w:r>
        <w:rPr>
          <w:bCs/>
          <w:sz w:val="24"/>
          <w:szCs w:val="24"/>
        </w:rPr>
        <w:t xml:space="preserve">or </w:t>
      </w:r>
      <w:r w:rsidRPr="00E73A5A">
        <w:rPr>
          <w:bCs/>
          <w:sz w:val="24"/>
          <w:szCs w:val="24"/>
        </w:rPr>
        <w:t>18,845,600 tons</w:t>
      </w:r>
      <w:r w:rsidR="004755B9">
        <w:rPr>
          <w:bCs/>
          <w:sz w:val="24"/>
          <w:szCs w:val="24"/>
        </w:rPr>
        <w:t xml:space="preserve"> – approximately </w:t>
      </w:r>
      <w:r w:rsidR="004755B9" w:rsidRPr="004755B9">
        <w:rPr>
          <w:bCs/>
          <w:sz w:val="24"/>
          <w:szCs w:val="24"/>
        </w:rPr>
        <w:t>17</w:t>
      </w:r>
      <w:r w:rsidR="006111A1">
        <w:rPr>
          <w:bCs/>
          <w:sz w:val="24"/>
          <w:szCs w:val="24"/>
        </w:rPr>
        <w:t>,</w:t>
      </w:r>
      <w:r w:rsidR="004755B9" w:rsidRPr="004755B9">
        <w:rPr>
          <w:bCs/>
          <w:sz w:val="24"/>
          <w:szCs w:val="24"/>
        </w:rPr>
        <w:t>096</w:t>
      </w:r>
      <w:r w:rsidR="006111A1">
        <w:rPr>
          <w:bCs/>
          <w:sz w:val="24"/>
          <w:szCs w:val="24"/>
        </w:rPr>
        <w:t>,</w:t>
      </w:r>
      <w:r w:rsidR="004755B9" w:rsidRPr="004755B9">
        <w:rPr>
          <w:bCs/>
          <w:sz w:val="24"/>
          <w:szCs w:val="24"/>
        </w:rPr>
        <w:t>44</w:t>
      </w:r>
      <w:r w:rsidR="006111A1">
        <w:rPr>
          <w:bCs/>
          <w:sz w:val="24"/>
          <w:szCs w:val="24"/>
        </w:rPr>
        <w:t>1 megagrams</w:t>
      </w:r>
      <w:r w:rsidRPr="00E73A5A">
        <w:rPr>
          <w:bCs/>
          <w:sz w:val="24"/>
          <w:szCs w:val="24"/>
        </w:rPr>
        <w:t>).</w:t>
      </w:r>
    </w:p>
    <w:p w14:paraId="03D55B09" w14:textId="77777777" w:rsidR="002B0570" w:rsidRDefault="002B0570" w:rsidP="00104CE2">
      <w:pPr>
        <w:jc w:val="both"/>
        <w:rPr>
          <w:sz w:val="24"/>
          <w:szCs w:val="24"/>
        </w:rPr>
      </w:pPr>
    </w:p>
    <w:p w14:paraId="610F64F5" w14:textId="77777777" w:rsidR="00531513" w:rsidRDefault="00531513" w:rsidP="00104CE2">
      <w:pPr>
        <w:jc w:val="both"/>
        <w:rPr>
          <w:sz w:val="24"/>
          <w:szCs w:val="24"/>
        </w:rPr>
      </w:pPr>
      <w:r>
        <w:rPr>
          <w:sz w:val="24"/>
          <w:szCs w:val="24"/>
          <w:u w:val="single"/>
        </w:rPr>
        <w:t xml:space="preserve">TITLE V </w:t>
      </w:r>
      <w:r w:rsidR="00BA3BCF">
        <w:rPr>
          <w:sz w:val="24"/>
          <w:szCs w:val="24"/>
          <w:u w:val="single"/>
        </w:rPr>
        <w:t>SOURCE</w:t>
      </w:r>
      <w:r>
        <w:rPr>
          <w:sz w:val="24"/>
          <w:szCs w:val="24"/>
          <w:u w:val="single"/>
        </w:rPr>
        <w:t xml:space="preserve"> APPLICABILITY </w:t>
      </w:r>
    </w:p>
    <w:p w14:paraId="532C481C" w14:textId="2669F865" w:rsidR="00A5283F" w:rsidRDefault="00DD1B8E" w:rsidP="00104CE2">
      <w:pPr>
        <w:jc w:val="both"/>
        <w:rPr>
          <w:sz w:val="24"/>
          <w:szCs w:val="24"/>
        </w:rPr>
      </w:pPr>
      <w:r>
        <w:rPr>
          <w:sz w:val="24"/>
          <w:szCs w:val="24"/>
        </w:rPr>
        <w:t xml:space="preserve">Pursuant to 40 CFR Part 60 – Subpart XXX [specifically 40 CFR 60.762(b) and (c)], Greenway is required to obtain a Title V Operating Permit (TVOP) given that the MSW landfill has a design capacity equal to / greater than 2.5 million megagrams </w:t>
      </w:r>
      <w:r w:rsidR="00967BC9">
        <w:rPr>
          <w:sz w:val="24"/>
          <w:szCs w:val="24"/>
        </w:rPr>
        <w:t xml:space="preserve">(or </w:t>
      </w:r>
      <w:r w:rsidR="00967BC9" w:rsidRPr="00967BC9">
        <w:rPr>
          <w:sz w:val="24"/>
          <w:szCs w:val="24"/>
        </w:rPr>
        <w:t>2</w:t>
      </w:r>
      <w:r w:rsidR="00967BC9">
        <w:rPr>
          <w:sz w:val="24"/>
          <w:szCs w:val="24"/>
        </w:rPr>
        <w:t>,</w:t>
      </w:r>
      <w:r w:rsidR="00967BC9" w:rsidRPr="00967BC9">
        <w:rPr>
          <w:sz w:val="24"/>
          <w:szCs w:val="24"/>
        </w:rPr>
        <w:t>755</w:t>
      </w:r>
      <w:r w:rsidR="00967BC9">
        <w:rPr>
          <w:sz w:val="24"/>
          <w:szCs w:val="24"/>
        </w:rPr>
        <w:t>,</w:t>
      </w:r>
      <w:r w:rsidR="00967BC9" w:rsidRPr="00967BC9">
        <w:rPr>
          <w:sz w:val="24"/>
          <w:szCs w:val="24"/>
        </w:rPr>
        <w:t>778</w:t>
      </w:r>
      <w:r w:rsidR="00967BC9">
        <w:rPr>
          <w:sz w:val="24"/>
          <w:szCs w:val="24"/>
        </w:rPr>
        <w:t xml:space="preserve"> tons) </w:t>
      </w:r>
      <w:r>
        <w:rPr>
          <w:sz w:val="24"/>
          <w:szCs w:val="24"/>
        </w:rPr>
        <w:t>and 2.5 million cubic meters</w:t>
      </w:r>
      <w:r w:rsidR="00E741CE">
        <w:rPr>
          <w:sz w:val="24"/>
          <w:szCs w:val="24"/>
        </w:rPr>
        <w:t xml:space="preserve"> (or </w:t>
      </w:r>
      <w:r w:rsidR="00E741CE" w:rsidRPr="00E741CE">
        <w:rPr>
          <w:sz w:val="24"/>
          <w:szCs w:val="24"/>
        </w:rPr>
        <w:t>326</w:t>
      </w:r>
      <w:r w:rsidR="00E741CE">
        <w:rPr>
          <w:sz w:val="24"/>
          <w:szCs w:val="24"/>
        </w:rPr>
        <w:t>,</w:t>
      </w:r>
      <w:r w:rsidR="00E741CE" w:rsidRPr="00E741CE">
        <w:rPr>
          <w:sz w:val="24"/>
          <w:szCs w:val="24"/>
        </w:rPr>
        <w:t>98</w:t>
      </w:r>
      <w:r w:rsidR="00E741CE">
        <w:rPr>
          <w:sz w:val="24"/>
          <w:szCs w:val="24"/>
        </w:rPr>
        <w:t>8 cubic yards).</w:t>
      </w:r>
    </w:p>
    <w:p w14:paraId="329F1E79" w14:textId="77777777" w:rsidR="00A5283F" w:rsidRDefault="00A5283F" w:rsidP="00104CE2">
      <w:pPr>
        <w:jc w:val="both"/>
        <w:rPr>
          <w:sz w:val="24"/>
          <w:szCs w:val="24"/>
        </w:rPr>
      </w:pPr>
    </w:p>
    <w:p w14:paraId="05AEA1B0" w14:textId="682096EC" w:rsidR="00531513" w:rsidRPr="005F16A1" w:rsidRDefault="00967BC9" w:rsidP="00104CE2">
      <w:pPr>
        <w:jc w:val="both"/>
        <w:rPr>
          <w:sz w:val="24"/>
          <w:szCs w:val="24"/>
        </w:rPr>
      </w:pPr>
      <w:r>
        <w:rPr>
          <w:sz w:val="24"/>
          <w:szCs w:val="24"/>
        </w:rPr>
        <w:t>Regarding air emissions, t</w:t>
      </w:r>
      <w:r w:rsidR="00E60EA3" w:rsidRPr="00E60EA3">
        <w:rPr>
          <w:sz w:val="24"/>
          <w:szCs w:val="24"/>
        </w:rPr>
        <w:t xml:space="preserve">he facility’s potential-to-emit </w:t>
      </w:r>
      <w:r w:rsidR="003A4126">
        <w:rPr>
          <w:sz w:val="24"/>
          <w:szCs w:val="24"/>
        </w:rPr>
        <w:t xml:space="preserve">(PTE) </w:t>
      </w:r>
      <w:r w:rsidRPr="00967BC9">
        <w:rPr>
          <w:sz w:val="24"/>
          <w:szCs w:val="24"/>
          <w:u w:val="single"/>
        </w:rPr>
        <w:t>does not</w:t>
      </w:r>
      <w:r w:rsidR="00E60EA3" w:rsidRPr="00E60EA3">
        <w:rPr>
          <w:sz w:val="24"/>
          <w:szCs w:val="24"/>
        </w:rPr>
        <w:t xml:space="preserve"> the Title V </w:t>
      </w:r>
      <w:r w:rsidR="00E60EA3">
        <w:rPr>
          <w:sz w:val="24"/>
          <w:szCs w:val="24"/>
        </w:rPr>
        <w:t>major source threshold</w:t>
      </w:r>
      <w:r w:rsidR="00E60EA3" w:rsidRPr="00E60EA3">
        <w:rPr>
          <w:sz w:val="24"/>
          <w:szCs w:val="24"/>
        </w:rPr>
        <w:t xml:space="preserve"> of 100 tons</w:t>
      </w:r>
      <w:r w:rsidR="00FD3166">
        <w:rPr>
          <w:sz w:val="24"/>
          <w:szCs w:val="24"/>
        </w:rPr>
        <w:t xml:space="preserve"> per </w:t>
      </w:r>
      <w:r w:rsidR="00E60EA3" w:rsidRPr="00E60EA3">
        <w:rPr>
          <w:sz w:val="24"/>
          <w:szCs w:val="24"/>
        </w:rPr>
        <w:t>year</w:t>
      </w:r>
      <w:r w:rsidR="00C03B43">
        <w:rPr>
          <w:sz w:val="24"/>
          <w:szCs w:val="24"/>
        </w:rPr>
        <w:t xml:space="preserve"> (</w:t>
      </w:r>
      <w:proofErr w:type="spellStart"/>
      <w:r w:rsidR="00C03B43">
        <w:rPr>
          <w:sz w:val="24"/>
          <w:szCs w:val="24"/>
        </w:rPr>
        <w:t>tpy</w:t>
      </w:r>
      <w:proofErr w:type="spellEnd"/>
      <w:r w:rsidR="00C03B43">
        <w:rPr>
          <w:sz w:val="24"/>
          <w:szCs w:val="24"/>
        </w:rPr>
        <w:t>)</w:t>
      </w:r>
      <w:r w:rsidR="00FD3166">
        <w:rPr>
          <w:sz w:val="24"/>
          <w:szCs w:val="24"/>
        </w:rPr>
        <w:t xml:space="preserve"> </w:t>
      </w:r>
      <w:r w:rsidR="00E60EA3">
        <w:rPr>
          <w:sz w:val="24"/>
          <w:szCs w:val="24"/>
        </w:rPr>
        <w:t>for</w:t>
      </w:r>
      <w:r w:rsidR="00E60EA3" w:rsidRPr="00E60EA3">
        <w:rPr>
          <w:sz w:val="24"/>
          <w:szCs w:val="24"/>
        </w:rPr>
        <w:t xml:space="preserve"> </w:t>
      </w:r>
      <w:r>
        <w:rPr>
          <w:sz w:val="24"/>
          <w:szCs w:val="24"/>
        </w:rPr>
        <w:t>any</w:t>
      </w:r>
      <w:r w:rsidR="00E60EA3" w:rsidRPr="00E60EA3">
        <w:rPr>
          <w:sz w:val="24"/>
          <w:szCs w:val="24"/>
        </w:rPr>
        <w:t xml:space="preserve"> </w:t>
      </w:r>
      <w:r>
        <w:rPr>
          <w:sz w:val="24"/>
          <w:szCs w:val="24"/>
        </w:rPr>
        <w:t xml:space="preserve">of the applicable </w:t>
      </w:r>
      <w:r w:rsidR="00E60EA3" w:rsidRPr="00E60EA3">
        <w:rPr>
          <w:sz w:val="24"/>
          <w:szCs w:val="24"/>
        </w:rPr>
        <w:t>criteria air pollutants</w:t>
      </w:r>
      <w:r w:rsidR="00C03B43">
        <w:rPr>
          <w:sz w:val="24"/>
          <w:szCs w:val="24"/>
        </w:rPr>
        <w:t>.</w:t>
      </w:r>
      <w:r>
        <w:rPr>
          <w:sz w:val="24"/>
          <w:szCs w:val="24"/>
        </w:rPr>
        <w:t xml:space="preserve"> </w:t>
      </w:r>
      <w:r w:rsidR="00C03B43">
        <w:rPr>
          <w:sz w:val="24"/>
          <w:szCs w:val="24"/>
        </w:rPr>
        <w:t xml:space="preserve"> In addition, t</w:t>
      </w:r>
      <w:r w:rsidR="00FD3166" w:rsidRPr="00BA3BCF">
        <w:rPr>
          <w:sz w:val="24"/>
          <w:szCs w:val="24"/>
        </w:rPr>
        <w:t xml:space="preserve">he facility’s potential-to-emit hazardous air pollutants (HAPs) </w:t>
      </w:r>
      <w:r w:rsidR="00FD3166" w:rsidRPr="00C03B43">
        <w:rPr>
          <w:sz w:val="24"/>
          <w:szCs w:val="24"/>
          <w:u w:val="single"/>
        </w:rPr>
        <w:t>does not</w:t>
      </w:r>
      <w:r w:rsidR="00FD3166" w:rsidRPr="00BA3BCF">
        <w:rPr>
          <w:sz w:val="24"/>
          <w:szCs w:val="24"/>
        </w:rPr>
        <w:t xml:space="preserve"> exceed the major source </w:t>
      </w:r>
      <w:r w:rsidR="00FD3166" w:rsidRPr="00BA3BCF">
        <w:rPr>
          <w:sz w:val="24"/>
          <w:szCs w:val="24"/>
        </w:rPr>
        <w:lastRenderedPageBreak/>
        <w:t xml:space="preserve">threshold of 25 </w:t>
      </w:r>
      <w:r w:rsidR="00C03B43">
        <w:rPr>
          <w:sz w:val="24"/>
          <w:szCs w:val="24"/>
        </w:rPr>
        <w:t>tons per year</w:t>
      </w:r>
      <w:r w:rsidR="00FD3166" w:rsidRPr="00BA3BCF">
        <w:rPr>
          <w:sz w:val="24"/>
          <w:szCs w:val="24"/>
        </w:rPr>
        <w:t xml:space="preserve"> </w:t>
      </w:r>
      <w:r w:rsidR="00C03B43">
        <w:rPr>
          <w:sz w:val="24"/>
          <w:szCs w:val="24"/>
        </w:rPr>
        <w:t>for</w:t>
      </w:r>
      <w:r w:rsidR="00FD3166" w:rsidRPr="00BA3BCF">
        <w:rPr>
          <w:sz w:val="24"/>
          <w:szCs w:val="24"/>
        </w:rPr>
        <w:t xml:space="preserve"> </w:t>
      </w:r>
      <w:r w:rsidR="00C03B43">
        <w:rPr>
          <w:sz w:val="24"/>
          <w:szCs w:val="24"/>
        </w:rPr>
        <w:t xml:space="preserve">all </w:t>
      </w:r>
      <w:r w:rsidR="00FD3166" w:rsidRPr="00BA3BCF">
        <w:rPr>
          <w:sz w:val="24"/>
          <w:szCs w:val="24"/>
        </w:rPr>
        <w:t xml:space="preserve">HAPs </w:t>
      </w:r>
      <w:r w:rsidR="00C03B43">
        <w:rPr>
          <w:sz w:val="24"/>
          <w:szCs w:val="24"/>
        </w:rPr>
        <w:t>in total or</w:t>
      </w:r>
      <w:r w:rsidR="00FD3166" w:rsidRPr="00BA3BCF">
        <w:rPr>
          <w:sz w:val="24"/>
          <w:szCs w:val="24"/>
        </w:rPr>
        <w:t xml:space="preserve"> 10 </w:t>
      </w:r>
      <w:r w:rsidR="00C03B43">
        <w:rPr>
          <w:sz w:val="24"/>
          <w:szCs w:val="24"/>
        </w:rPr>
        <w:t>tons per year</w:t>
      </w:r>
      <w:r w:rsidR="00FD3166" w:rsidRPr="00BA3BCF">
        <w:rPr>
          <w:sz w:val="24"/>
          <w:szCs w:val="24"/>
        </w:rPr>
        <w:t xml:space="preserve"> for </w:t>
      </w:r>
      <w:r w:rsidR="00C03B43">
        <w:rPr>
          <w:sz w:val="24"/>
          <w:szCs w:val="24"/>
        </w:rPr>
        <w:t>each</w:t>
      </w:r>
      <w:r w:rsidR="00FD3166" w:rsidRPr="00BA3BCF">
        <w:rPr>
          <w:sz w:val="24"/>
          <w:szCs w:val="24"/>
        </w:rPr>
        <w:t xml:space="preserve"> individual HAP</w:t>
      </w:r>
      <w:r w:rsidR="00C03B43">
        <w:rPr>
          <w:sz w:val="24"/>
          <w:szCs w:val="24"/>
        </w:rPr>
        <w:t>.</w:t>
      </w:r>
      <w:r w:rsidR="00FD3166">
        <w:rPr>
          <w:color w:val="4F81BD"/>
          <w:sz w:val="24"/>
          <w:szCs w:val="24"/>
        </w:rPr>
        <w:t xml:space="preserve"> </w:t>
      </w:r>
      <w:r w:rsidR="000417AE">
        <w:rPr>
          <w:color w:val="4F81BD"/>
          <w:sz w:val="24"/>
          <w:szCs w:val="24"/>
        </w:rPr>
        <w:t xml:space="preserve"> </w:t>
      </w:r>
      <w:r w:rsidR="000417AE" w:rsidRPr="005F16A1">
        <w:rPr>
          <w:sz w:val="24"/>
          <w:szCs w:val="24"/>
        </w:rPr>
        <w:t>Therefore, the facility is considered an area source for HAPs.</w:t>
      </w:r>
    </w:p>
    <w:p w14:paraId="177D8E65" w14:textId="77777777" w:rsidR="009733EB" w:rsidRPr="005F16A1" w:rsidRDefault="009733EB" w:rsidP="00104CE2">
      <w:pPr>
        <w:jc w:val="both"/>
        <w:rPr>
          <w:sz w:val="24"/>
          <w:szCs w:val="24"/>
        </w:rPr>
      </w:pPr>
    </w:p>
    <w:p w14:paraId="46CC67AC" w14:textId="77777777" w:rsidR="009733EB" w:rsidRPr="006A52EB" w:rsidRDefault="009733EB" w:rsidP="00577CB8">
      <w:pPr>
        <w:keepNext/>
        <w:jc w:val="both"/>
        <w:rPr>
          <w:b/>
          <w:sz w:val="24"/>
          <w:szCs w:val="24"/>
          <w:vertAlign w:val="superscript"/>
        </w:rPr>
      </w:pPr>
      <w:r>
        <w:rPr>
          <w:b/>
          <w:sz w:val="24"/>
          <w:szCs w:val="24"/>
        </w:rPr>
        <w:t>Facility-Wide Potential-to-Emit</w:t>
      </w:r>
      <w:r w:rsidR="00991620">
        <w:rPr>
          <w:b/>
          <w:sz w:val="24"/>
          <w:szCs w:val="24"/>
        </w:rPr>
        <w:t xml:space="preserve"> Summary</w:t>
      </w:r>
      <w:r w:rsidR="00ED2C87">
        <w:rPr>
          <w:b/>
          <w:sz w:val="24"/>
          <w:szCs w:val="24"/>
          <w:vertAlign w:val="superscript"/>
        </w:rPr>
        <w:t>1</w:t>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3078"/>
        <w:gridCol w:w="2160"/>
      </w:tblGrid>
      <w:tr w:rsidR="009733EB" w14:paraId="41EB70AA" w14:textId="77777777">
        <w:trPr>
          <w:trHeight w:val="672"/>
          <w:tblHeader/>
        </w:trPr>
        <w:tc>
          <w:tcPr>
            <w:tcW w:w="3078" w:type="dxa"/>
            <w:tcBorders>
              <w:top w:val="double" w:sz="4" w:space="0" w:color="auto"/>
            </w:tcBorders>
            <w:shd w:val="clear" w:color="auto" w:fill="BFBFBF"/>
            <w:vAlign w:val="center"/>
          </w:tcPr>
          <w:p w14:paraId="2AB2070E" w14:textId="77777777" w:rsidR="009733EB" w:rsidRDefault="009733EB">
            <w:pPr>
              <w:keepNext/>
              <w:rPr>
                <w:b/>
                <w:bCs/>
                <w:sz w:val="24"/>
                <w:szCs w:val="24"/>
              </w:rPr>
            </w:pPr>
            <w:r>
              <w:rPr>
                <w:b/>
                <w:bCs/>
                <w:sz w:val="24"/>
                <w:szCs w:val="24"/>
              </w:rPr>
              <w:t>Pollutant</w:t>
            </w:r>
          </w:p>
        </w:tc>
        <w:tc>
          <w:tcPr>
            <w:tcW w:w="2160" w:type="dxa"/>
            <w:tcBorders>
              <w:top w:val="double" w:sz="4" w:space="0" w:color="auto"/>
            </w:tcBorders>
            <w:shd w:val="clear" w:color="auto" w:fill="BFBFBF"/>
            <w:vAlign w:val="center"/>
          </w:tcPr>
          <w:p w14:paraId="0AC56833" w14:textId="77777777" w:rsidR="009733EB" w:rsidRDefault="009733EB">
            <w:pPr>
              <w:keepNext/>
              <w:jc w:val="center"/>
              <w:rPr>
                <w:b/>
                <w:bCs/>
                <w:sz w:val="24"/>
                <w:szCs w:val="24"/>
              </w:rPr>
            </w:pPr>
            <w:r>
              <w:rPr>
                <w:b/>
                <w:bCs/>
                <w:sz w:val="24"/>
                <w:szCs w:val="24"/>
              </w:rPr>
              <w:t>PTE Emissions</w:t>
            </w:r>
          </w:p>
          <w:p w14:paraId="523B2446" w14:textId="77777777" w:rsidR="009733EB" w:rsidRDefault="009733EB">
            <w:pPr>
              <w:keepNext/>
              <w:jc w:val="center"/>
              <w:rPr>
                <w:b/>
                <w:bCs/>
                <w:sz w:val="24"/>
                <w:szCs w:val="24"/>
              </w:rPr>
            </w:pPr>
            <w:r>
              <w:rPr>
                <w:b/>
                <w:bCs/>
                <w:sz w:val="24"/>
                <w:szCs w:val="24"/>
              </w:rPr>
              <w:t>(tons/yr)</w:t>
            </w:r>
          </w:p>
        </w:tc>
      </w:tr>
      <w:tr w:rsidR="009733EB" w14:paraId="1EE9CA8D" w14:textId="77777777">
        <w:trPr>
          <w:trHeight w:val="440"/>
        </w:trPr>
        <w:tc>
          <w:tcPr>
            <w:tcW w:w="3078" w:type="dxa"/>
            <w:vAlign w:val="center"/>
          </w:tcPr>
          <w:p w14:paraId="004DFE6E" w14:textId="77777777" w:rsidR="009733EB" w:rsidRDefault="009733EB">
            <w:pPr>
              <w:jc w:val="center"/>
              <w:rPr>
                <w:sz w:val="24"/>
                <w:szCs w:val="24"/>
              </w:rPr>
            </w:pPr>
            <w:r>
              <w:rPr>
                <w:sz w:val="24"/>
                <w:szCs w:val="24"/>
              </w:rPr>
              <w:t>Particulate Matter</w:t>
            </w:r>
            <w:r w:rsidR="00D90F67">
              <w:rPr>
                <w:sz w:val="24"/>
                <w:szCs w:val="24"/>
              </w:rPr>
              <w:t xml:space="preserve"> (TSP)</w:t>
            </w:r>
          </w:p>
        </w:tc>
        <w:tc>
          <w:tcPr>
            <w:tcW w:w="2160" w:type="dxa"/>
            <w:vAlign w:val="center"/>
          </w:tcPr>
          <w:p w14:paraId="4B267F2D" w14:textId="671D2F4F" w:rsidR="009733EB" w:rsidRDefault="00C03B43">
            <w:pPr>
              <w:jc w:val="center"/>
              <w:rPr>
                <w:sz w:val="24"/>
                <w:szCs w:val="24"/>
              </w:rPr>
            </w:pPr>
            <w:r>
              <w:rPr>
                <w:sz w:val="24"/>
                <w:szCs w:val="24"/>
              </w:rPr>
              <w:t>4.87</w:t>
            </w:r>
          </w:p>
        </w:tc>
      </w:tr>
      <w:tr w:rsidR="009733EB" w14:paraId="6C77081C" w14:textId="77777777">
        <w:trPr>
          <w:trHeight w:val="440"/>
        </w:trPr>
        <w:tc>
          <w:tcPr>
            <w:tcW w:w="3078" w:type="dxa"/>
            <w:vAlign w:val="center"/>
          </w:tcPr>
          <w:p w14:paraId="0A0C45FD" w14:textId="77777777" w:rsidR="009733EB" w:rsidRDefault="009733EB">
            <w:pPr>
              <w:jc w:val="center"/>
              <w:rPr>
                <w:sz w:val="24"/>
                <w:szCs w:val="24"/>
                <w:vertAlign w:val="subscript"/>
              </w:rPr>
            </w:pPr>
            <w:r>
              <w:rPr>
                <w:sz w:val="24"/>
                <w:szCs w:val="24"/>
              </w:rPr>
              <w:t>PM</w:t>
            </w:r>
            <w:r>
              <w:rPr>
                <w:sz w:val="24"/>
                <w:szCs w:val="24"/>
                <w:vertAlign w:val="subscript"/>
              </w:rPr>
              <w:t>10</w:t>
            </w:r>
          </w:p>
        </w:tc>
        <w:tc>
          <w:tcPr>
            <w:tcW w:w="2160" w:type="dxa"/>
            <w:vAlign w:val="center"/>
          </w:tcPr>
          <w:p w14:paraId="13E5A852" w14:textId="61F69EBF" w:rsidR="009733EB" w:rsidRDefault="00C03B43">
            <w:pPr>
              <w:jc w:val="center"/>
              <w:rPr>
                <w:sz w:val="24"/>
                <w:szCs w:val="24"/>
              </w:rPr>
            </w:pPr>
            <w:r>
              <w:rPr>
                <w:sz w:val="24"/>
                <w:szCs w:val="24"/>
              </w:rPr>
              <w:t>1.25</w:t>
            </w:r>
          </w:p>
        </w:tc>
      </w:tr>
      <w:tr w:rsidR="009733EB" w14:paraId="74FD5DA1" w14:textId="77777777">
        <w:trPr>
          <w:trHeight w:val="440"/>
        </w:trPr>
        <w:tc>
          <w:tcPr>
            <w:tcW w:w="3078" w:type="dxa"/>
            <w:vAlign w:val="center"/>
          </w:tcPr>
          <w:p w14:paraId="2D7F0E76" w14:textId="77777777" w:rsidR="009733EB" w:rsidRDefault="009733EB">
            <w:pPr>
              <w:jc w:val="center"/>
              <w:rPr>
                <w:sz w:val="24"/>
                <w:szCs w:val="24"/>
                <w:vertAlign w:val="subscript"/>
              </w:rPr>
            </w:pPr>
            <w:r>
              <w:rPr>
                <w:sz w:val="24"/>
                <w:szCs w:val="24"/>
              </w:rPr>
              <w:t>PM</w:t>
            </w:r>
            <w:r>
              <w:rPr>
                <w:sz w:val="24"/>
                <w:szCs w:val="24"/>
                <w:vertAlign w:val="subscript"/>
              </w:rPr>
              <w:t>2.5</w:t>
            </w:r>
          </w:p>
        </w:tc>
        <w:tc>
          <w:tcPr>
            <w:tcW w:w="2160" w:type="dxa"/>
            <w:vAlign w:val="center"/>
          </w:tcPr>
          <w:p w14:paraId="7E5A9B1B" w14:textId="25383C03" w:rsidR="009733EB" w:rsidRDefault="00C03B43">
            <w:pPr>
              <w:jc w:val="center"/>
              <w:rPr>
                <w:sz w:val="24"/>
                <w:szCs w:val="24"/>
              </w:rPr>
            </w:pPr>
            <w:r>
              <w:rPr>
                <w:sz w:val="24"/>
                <w:szCs w:val="24"/>
              </w:rPr>
              <w:t>0.17</w:t>
            </w:r>
          </w:p>
        </w:tc>
      </w:tr>
      <w:tr w:rsidR="009733EB" w14:paraId="05B20569" w14:textId="77777777">
        <w:trPr>
          <w:trHeight w:val="440"/>
        </w:trPr>
        <w:tc>
          <w:tcPr>
            <w:tcW w:w="3078" w:type="dxa"/>
            <w:vAlign w:val="center"/>
          </w:tcPr>
          <w:p w14:paraId="36FDEF63" w14:textId="77777777" w:rsidR="009733EB" w:rsidRDefault="00D90F67">
            <w:pPr>
              <w:jc w:val="center"/>
              <w:rPr>
                <w:sz w:val="24"/>
                <w:szCs w:val="24"/>
              </w:rPr>
            </w:pPr>
            <w:r>
              <w:rPr>
                <w:sz w:val="24"/>
                <w:szCs w:val="24"/>
              </w:rPr>
              <w:t>Sulfur Dioxide (SO</w:t>
            </w:r>
            <w:r>
              <w:rPr>
                <w:sz w:val="24"/>
                <w:szCs w:val="24"/>
                <w:vertAlign w:val="subscript"/>
              </w:rPr>
              <w:t>2</w:t>
            </w:r>
            <w:r>
              <w:rPr>
                <w:sz w:val="24"/>
                <w:szCs w:val="24"/>
              </w:rPr>
              <w:t>)</w:t>
            </w:r>
          </w:p>
        </w:tc>
        <w:tc>
          <w:tcPr>
            <w:tcW w:w="2160" w:type="dxa"/>
            <w:vAlign w:val="center"/>
          </w:tcPr>
          <w:p w14:paraId="46D57338" w14:textId="1DBD5B3E" w:rsidR="009733EB" w:rsidRDefault="00C03B43">
            <w:pPr>
              <w:jc w:val="center"/>
              <w:rPr>
                <w:sz w:val="24"/>
                <w:szCs w:val="24"/>
              </w:rPr>
            </w:pPr>
            <w:r>
              <w:rPr>
                <w:sz w:val="24"/>
                <w:szCs w:val="24"/>
              </w:rPr>
              <w:t>--</w:t>
            </w:r>
          </w:p>
        </w:tc>
      </w:tr>
      <w:tr w:rsidR="009733EB" w14:paraId="0A55FE21" w14:textId="77777777">
        <w:trPr>
          <w:trHeight w:val="440"/>
        </w:trPr>
        <w:tc>
          <w:tcPr>
            <w:tcW w:w="3078" w:type="dxa"/>
            <w:vAlign w:val="center"/>
          </w:tcPr>
          <w:p w14:paraId="19864D5C" w14:textId="77777777" w:rsidR="009733EB" w:rsidRDefault="00D90F67">
            <w:pPr>
              <w:jc w:val="center"/>
              <w:rPr>
                <w:sz w:val="24"/>
                <w:szCs w:val="24"/>
              </w:rPr>
            </w:pPr>
            <w:r>
              <w:rPr>
                <w:sz w:val="24"/>
                <w:szCs w:val="24"/>
              </w:rPr>
              <w:t>Nitrogen Oxides (NO</w:t>
            </w:r>
            <w:r>
              <w:rPr>
                <w:sz w:val="24"/>
                <w:szCs w:val="24"/>
                <w:vertAlign w:val="subscript"/>
              </w:rPr>
              <w:t>x</w:t>
            </w:r>
            <w:r>
              <w:rPr>
                <w:sz w:val="24"/>
                <w:szCs w:val="24"/>
              </w:rPr>
              <w:t>)</w:t>
            </w:r>
          </w:p>
        </w:tc>
        <w:tc>
          <w:tcPr>
            <w:tcW w:w="2160" w:type="dxa"/>
            <w:vAlign w:val="center"/>
          </w:tcPr>
          <w:p w14:paraId="50528F73" w14:textId="6853248E" w:rsidR="009733EB" w:rsidRDefault="00C03B43">
            <w:pPr>
              <w:jc w:val="center"/>
              <w:rPr>
                <w:sz w:val="24"/>
                <w:szCs w:val="24"/>
              </w:rPr>
            </w:pPr>
            <w:r>
              <w:rPr>
                <w:sz w:val="24"/>
                <w:szCs w:val="24"/>
              </w:rPr>
              <w:t>--</w:t>
            </w:r>
          </w:p>
        </w:tc>
      </w:tr>
      <w:tr w:rsidR="009733EB" w14:paraId="7514FA4C" w14:textId="77777777">
        <w:trPr>
          <w:trHeight w:val="440"/>
        </w:trPr>
        <w:tc>
          <w:tcPr>
            <w:tcW w:w="3078" w:type="dxa"/>
            <w:vAlign w:val="center"/>
          </w:tcPr>
          <w:p w14:paraId="2002F92E" w14:textId="77777777" w:rsidR="009733EB" w:rsidRDefault="00D90F67">
            <w:pPr>
              <w:jc w:val="center"/>
              <w:rPr>
                <w:sz w:val="24"/>
                <w:szCs w:val="24"/>
              </w:rPr>
            </w:pPr>
            <w:r>
              <w:rPr>
                <w:sz w:val="24"/>
                <w:szCs w:val="24"/>
              </w:rPr>
              <w:t>Carbon Monoxide (CO)</w:t>
            </w:r>
          </w:p>
        </w:tc>
        <w:tc>
          <w:tcPr>
            <w:tcW w:w="2160" w:type="dxa"/>
            <w:vAlign w:val="center"/>
          </w:tcPr>
          <w:p w14:paraId="2D1E0E3D" w14:textId="7625C44C" w:rsidR="009733EB" w:rsidRDefault="00C03B43">
            <w:pPr>
              <w:jc w:val="center"/>
              <w:rPr>
                <w:sz w:val="24"/>
                <w:szCs w:val="24"/>
              </w:rPr>
            </w:pPr>
            <w:r>
              <w:rPr>
                <w:sz w:val="24"/>
                <w:szCs w:val="24"/>
              </w:rPr>
              <w:t>3.98</w:t>
            </w:r>
          </w:p>
        </w:tc>
      </w:tr>
      <w:tr w:rsidR="00D90F67" w14:paraId="27FA09EC" w14:textId="77777777">
        <w:trPr>
          <w:trHeight w:val="710"/>
        </w:trPr>
        <w:tc>
          <w:tcPr>
            <w:tcW w:w="3078" w:type="dxa"/>
            <w:vAlign w:val="center"/>
          </w:tcPr>
          <w:p w14:paraId="40D32208" w14:textId="227EFD08" w:rsidR="00D90F67" w:rsidRDefault="00D90F67">
            <w:pPr>
              <w:jc w:val="center"/>
              <w:rPr>
                <w:sz w:val="24"/>
                <w:szCs w:val="24"/>
              </w:rPr>
            </w:pPr>
            <w:r>
              <w:rPr>
                <w:sz w:val="24"/>
                <w:szCs w:val="24"/>
              </w:rPr>
              <w:t>Volatile Organic Compounds (VOC</w:t>
            </w:r>
            <w:r w:rsidR="00C03B43">
              <w:rPr>
                <w:sz w:val="24"/>
                <w:szCs w:val="24"/>
              </w:rPr>
              <w:t>s</w:t>
            </w:r>
            <w:r>
              <w:rPr>
                <w:sz w:val="24"/>
                <w:szCs w:val="24"/>
              </w:rPr>
              <w:t>)</w:t>
            </w:r>
          </w:p>
        </w:tc>
        <w:tc>
          <w:tcPr>
            <w:tcW w:w="2160" w:type="dxa"/>
            <w:vAlign w:val="center"/>
          </w:tcPr>
          <w:p w14:paraId="7ECD6073" w14:textId="22A5740E" w:rsidR="00D90F67" w:rsidRDefault="00C03B43">
            <w:pPr>
              <w:jc w:val="center"/>
              <w:rPr>
                <w:sz w:val="24"/>
                <w:szCs w:val="24"/>
              </w:rPr>
            </w:pPr>
            <w:r>
              <w:rPr>
                <w:sz w:val="24"/>
                <w:szCs w:val="24"/>
              </w:rPr>
              <w:t>16.11</w:t>
            </w:r>
          </w:p>
        </w:tc>
      </w:tr>
      <w:tr w:rsidR="009733EB" w14:paraId="1982326B" w14:textId="77777777">
        <w:trPr>
          <w:trHeight w:val="440"/>
        </w:trPr>
        <w:tc>
          <w:tcPr>
            <w:tcW w:w="3078" w:type="dxa"/>
            <w:vAlign w:val="center"/>
          </w:tcPr>
          <w:p w14:paraId="3E5B7D2C" w14:textId="77777777" w:rsidR="009733EB" w:rsidRDefault="00280FAA">
            <w:pPr>
              <w:jc w:val="center"/>
              <w:rPr>
                <w:sz w:val="24"/>
                <w:szCs w:val="24"/>
              </w:rPr>
            </w:pPr>
            <w:r>
              <w:rPr>
                <w:sz w:val="24"/>
                <w:szCs w:val="24"/>
              </w:rPr>
              <w:t>Total Reduced Sulfur (TRS)</w:t>
            </w:r>
          </w:p>
        </w:tc>
        <w:tc>
          <w:tcPr>
            <w:tcW w:w="2160" w:type="dxa"/>
            <w:vAlign w:val="center"/>
          </w:tcPr>
          <w:p w14:paraId="56DDE40A" w14:textId="575138FE" w:rsidR="009733EB" w:rsidRDefault="00C03B43">
            <w:pPr>
              <w:jc w:val="center"/>
              <w:rPr>
                <w:sz w:val="24"/>
                <w:szCs w:val="24"/>
              </w:rPr>
            </w:pPr>
            <w:r>
              <w:rPr>
                <w:sz w:val="24"/>
                <w:szCs w:val="24"/>
              </w:rPr>
              <w:t>1.86</w:t>
            </w:r>
          </w:p>
        </w:tc>
      </w:tr>
      <w:tr w:rsidR="00280FAA" w14:paraId="09A6545A" w14:textId="77777777">
        <w:trPr>
          <w:trHeight w:val="440"/>
        </w:trPr>
        <w:tc>
          <w:tcPr>
            <w:tcW w:w="3078" w:type="dxa"/>
            <w:vAlign w:val="center"/>
          </w:tcPr>
          <w:p w14:paraId="32D50418" w14:textId="77777777" w:rsidR="00280FAA" w:rsidRDefault="00280FAA">
            <w:pPr>
              <w:jc w:val="center"/>
              <w:rPr>
                <w:sz w:val="24"/>
                <w:szCs w:val="24"/>
              </w:rPr>
            </w:pPr>
            <w:r>
              <w:rPr>
                <w:sz w:val="24"/>
                <w:szCs w:val="24"/>
              </w:rPr>
              <w:t>Lead</w:t>
            </w:r>
          </w:p>
        </w:tc>
        <w:tc>
          <w:tcPr>
            <w:tcW w:w="2160" w:type="dxa"/>
            <w:vAlign w:val="center"/>
          </w:tcPr>
          <w:p w14:paraId="310AE2AA" w14:textId="5A7A0C69" w:rsidR="00280FAA" w:rsidRDefault="00C03B43">
            <w:pPr>
              <w:jc w:val="center"/>
              <w:rPr>
                <w:sz w:val="24"/>
                <w:szCs w:val="24"/>
              </w:rPr>
            </w:pPr>
            <w:r>
              <w:rPr>
                <w:sz w:val="24"/>
                <w:szCs w:val="24"/>
              </w:rPr>
              <w:t>--</w:t>
            </w:r>
          </w:p>
        </w:tc>
      </w:tr>
      <w:tr w:rsidR="00280FAA" w14:paraId="35B25342" w14:textId="77777777">
        <w:trPr>
          <w:trHeight w:val="440"/>
        </w:trPr>
        <w:tc>
          <w:tcPr>
            <w:tcW w:w="3078" w:type="dxa"/>
            <w:vAlign w:val="center"/>
          </w:tcPr>
          <w:p w14:paraId="4CFEA3D6" w14:textId="77777777" w:rsidR="00280FAA" w:rsidRDefault="00280FAA">
            <w:pPr>
              <w:jc w:val="center"/>
              <w:rPr>
                <w:sz w:val="24"/>
                <w:szCs w:val="24"/>
              </w:rPr>
            </w:pPr>
            <w:r>
              <w:rPr>
                <w:sz w:val="24"/>
                <w:szCs w:val="24"/>
              </w:rPr>
              <w:t>CFC/HCFC</w:t>
            </w:r>
          </w:p>
        </w:tc>
        <w:tc>
          <w:tcPr>
            <w:tcW w:w="2160" w:type="dxa"/>
            <w:vAlign w:val="center"/>
          </w:tcPr>
          <w:p w14:paraId="5FE029D9" w14:textId="7E6946F7" w:rsidR="00280FAA" w:rsidRDefault="00490103">
            <w:pPr>
              <w:jc w:val="center"/>
              <w:rPr>
                <w:sz w:val="24"/>
                <w:szCs w:val="24"/>
              </w:rPr>
            </w:pPr>
            <w:r>
              <w:rPr>
                <w:sz w:val="24"/>
                <w:szCs w:val="24"/>
              </w:rPr>
              <w:t>--</w:t>
            </w:r>
          </w:p>
        </w:tc>
      </w:tr>
      <w:tr w:rsidR="00280FAA" w14:paraId="2C4C1823" w14:textId="77777777">
        <w:trPr>
          <w:trHeight w:val="440"/>
        </w:trPr>
        <w:tc>
          <w:tcPr>
            <w:tcW w:w="3078" w:type="dxa"/>
            <w:tcBorders>
              <w:bottom w:val="double" w:sz="4" w:space="0" w:color="auto"/>
            </w:tcBorders>
            <w:vAlign w:val="center"/>
          </w:tcPr>
          <w:p w14:paraId="1530D442" w14:textId="6DDF9941" w:rsidR="00280FAA" w:rsidRDefault="00280FAA">
            <w:pPr>
              <w:jc w:val="center"/>
              <w:rPr>
                <w:sz w:val="24"/>
                <w:szCs w:val="24"/>
              </w:rPr>
            </w:pPr>
            <w:r>
              <w:rPr>
                <w:sz w:val="24"/>
                <w:szCs w:val="24"/>
              </w:rPr>
              <w:t>Total HAP</w:t>
            </w:r>
            <w:r w:rsidR="00490103">
              <w:rPr>
                <w:sz w:val="24"/>
                <w:szCs w:val="24"/>
              </w:rPr>
              <w:t>s</w:t>
            </w:r>
          </w:p>
        </w:tc>
        <w:tc>
          <w:tcPr>
            <w:tcW w:w="2160" w:type="dxa"/>
            <w:tcBorders>
              <w:bottom w:val="double" w:sz="4" w:space="0" w:color="auto"/>
            </w:tcBorders>
            <w:vAlign w:val="center"/>
          </w:tcPr>
          <w:p w14:paraId="0D4BB42F" w14:textId="6A62DDB0" w:rsidR="00280FAA" w:rsidRDefault="00490103">
            <w:pPr>
              <w:jc w:val="center"/>
              <w:rPr>
                <w:sz w:val="24"/>
                <w:szCs w:val="24"/>
              </w:rPr>
            </w:pPr>
            <w:r>
              <w:rPr>
                <w:sz w:val="24"/>
                <w:szCs w:val="24"/>
              </w:rPr>
              <w:t>9.1</w:t>
            </w:r>
          </w:p>
        </w:tc>
      </w:tr>
    </w:tbl>
    <w:p w14:paraId="7E46BEDE" w14:textId="77777777" w:rsidR="009733EB" w:rsidRPr="006A52EB" w:rsidRDefault="00ED2C87" w:rsidP="00104CE2">
      <w:pPr>
        <w:jc w:val="both"/>
        <w:rPr>
          <w:szCs w:val="24"/>
        </w:rPr>
      </w:pPr>
      <w:r w:rsidRPr="006A52EB">
        <w:rPr>
          <w:szCs w:val="24"/>
          <w:vertAlign w:val="superscript"/>
        </w:rPr>
        <w:t>1</w:t>
      </w:r>
      <w:r w:rsidRPr="006A52EB">
        <w:rPr>
          <w:szCs w:val="24"/>
        </w:rPr>
        <w:t xml:space="preserve"> The PTE emissions reflect any emission limits or enforceable restrictions included in the proposed permit.</w:t>
      </w:r>
    </w:p>
    <w:p w14:paraId="5C19E875" w14:textId="77777777" w:rsidR="002B0570" w:rsidRDefault="002B0570" w:rsidP="00104CE2">
      <w:pPr>
        <w:jc w:val="both"/>
        <w:rPr>
          <w:sz w:val="24"/>
          <w:szCs w:val="24"/>
        </w:rPr>
      </w:pPr>
    </w:p>
    <w:p w14:paraId="7A6F8451" w14:textId="77777777" w:rsidR="00BA3BCF" w:rsidRDefault="00BA3BCF" w:rsidP="00BA3BCF">
      <w:pPr>
        <w:jc w:val="both"/>
        <w:rPr>
          <w:sz w:val="24"/>
          <w:szCs w:val="24"/>
          <w:u w:val="single"/>
        </w:rPr>
      </w:pPr>
      <w:r w:rsidRPr="00AD7559">
        <w:rPr>
          <w:sz w:val="24"/>
          <w:szCs w:val="24"/>
          <w:u w:val="single"/>
        </w:rPr>
        <w:t>PREVENTION OF SIGNIFICANT DETERIORATION (PSD) APPLICABILITY</w:t>
      </w:r>
    </w:p>
    <w:p w14:paraId="57B4F134" w14:textId="3D73A5F4" w:rsidR="002B0570" w:rsidRPr="001B570E" w:rsidRDefault="002B0570" w:rsidP="00BA3BCF">
      <w:pPr>
        <w:jc w:val="both"/>
        <w:rPr>
          <w:sz w:val="24"/>
          <w:szCs w:val="24"/>
        </w:rPr>
      </w:pPr>
      <w:r w:rsidRPr="001B570E">
        <w:rPr>
          <w:sz w:val="24"/>
          <w:szCs w:val="24"/>
        </w:rPr>
        <w:t>A MSW landfill is not one of the 28 categorical facilities listed in 40 CFR 52.21(b)(1)(</w:t>
      </w:r>
      <w:proofErr w:type="spellStart"/>
      <w:r w:rsidRPr="001B570E">
        <w:rPr>
          <w:sz w:val="24"/>
          <w:szCs w:val="24"/>
        </w:rPr>
        <w:t>i</w:t>
      </w:r>
      <w:proofErr w:type="spellEnd"/>
      <w:r w:rsidRPr="001B570E">
        <w:rPr>
          <w:sz w:val="24"/>
          <w:szCs w:val="24"/>
        </w:rPr>
        <w:t>)(</w:t>
      </w:r>
      <w:r w:rsidR="003B41AC">
        <w:rPr>
          <w:sz w:val="24"/>
          <w:szCs w:val="24"/>
        </w:rPr>
        <w:t>A</w:t>
      </w:r>
      <w:r w:rsidRPr="001B570E">
        <w:rPr>
          <w:sz w:val="24"/>
          <w:szCs w:val="24"/>
        </w:rPr>
        <w:t>); therefore, the applicable PSD major source threshold is 250 tons per year for each regulated New Source Review (NSR) pollutant</w:t>
      </w:r>
      <w:r w:rsidR="001658CB">
        <w:rPr>
          <w:sz w:val="24"/>
          <w:szCs w:val="24"/>
        </w:rPr>
        <w:t xml:space="preserve"> (with fugitive emissions not included in the initial </w:t>
      </w:r>
      <w:r w:rsidR="00E96C17">
        <w:rPr>
          <w:sz w:val="24"/>
          <w:szCs w:val="24"/>
        </w:rPr>
        <w:t>assessment</w:t>
      </w:r>
      <w:r w:rsidR="001658CB">
        <w:rPr>
          <w:sz w:val="24"/>
          <w:szCs w:val="24"/>
        </w:rPr>
        <w:t>)</w:t>
      </w:r>
      <w:r w:rsidRPr="001B570E">
        <w:rPr>
          <w:sz w:val="24"/>
          <w:szCs w:val="24"/>
        </w:rPr>
        <w:t>.  Based on the emissions profile, Greenway does not have the potential to emit any regulated pollutant more than 250 tons per year.  Therefore, the facility is considered an existing “minor NSR source” under the PSD program.</w:t>
      </w:r>
    </w:p>
    <w:p w14:paraId="102A87D4" w14:textId="77777777" w:rsidR="002B0570" w:rsidRPr="001B570E" w:rsidRDefault="002B0570" w:rsidP="00BA3BCF">
      <w:pPr>
        <w:jc w:val="both"/>
        <w:rPr>
          <w:sz w:val="24"/>
          <w:szCs w:val="24"/>
        </w:rPr>
      </w:pPr>
    </w:p>
    <w:p w14:paraId="6500C09D" w14:textId="2133868E" w:rsidR="002B0570" w:rsidRPr="001B570E" w:rsidRDefault="002B0570" w:rsidP="00BA3BCF">
      <w:pPr>
        <w:jc w:val="both"/>
        <w:rPr>
          <w:sz w:val="24"/>
          <w:szCs w:val="24"/>
        </w:rPr>
      </w:pPr>
      <w:r w:rsidRPr="001B570E">
        <w:rPr>
          <w:sz w:val="24"/>
          <w:szCs w:val="24"/>
        </w:rPr>
        <w:t>This permitting action will not change the current PSD status of the facility.</w:t>
      </w:r>
    </w:p>
    <w:p w14:paraId="1F16DD46" w14:textId="77777777" w:rsidR="00BA3BCF" w:rsidRDefault="00BA3BCF" w:rsidP="00104CE2">
      <w:pPr>
        <w:jc w:val="both"/>
        <w:rPr>
          <w:sz w:val="24"/>
          <w:szCs w:val="24"/>
          <w:u w:val="single"/>
        </w:rPr>
      </w:pPr>
    </w:p>
    <w:p w14:paraId="4B338CB6" w14:textId="77777777" w:rsidR="00BA3BCF" w:rsidRDefault="00BA3BCF" w:rsidP="00BA3BCF">
      <w:pPr>
        <w:jc w:val="both"/>
        <w:rPr>
          <w:sz w:val="24"/>
          <w:szCs w:val="24"/>
          <w:u w:val="single"/>
        </w:rPr>
      </w:pPr>
      <w:r>
        <w:rPr>
          <w:sz w:val="24"/>
          <w:szCs w:val="24"/>
          <w:u w:val="single"/>
        </w:rPr>
        <w:t>FACILITY MODIFICATIONS AND/OR PERMIT CHANGES</w:t>
      </w:r>
    </w:p>
    <w:p w14:paraId="485DD8DB" w14:textId="6DA79BF2" w:rsidR="001B570E" w:rsidRPr="00DB0CA5" w:rsidRDefault="00061B42" w:rsidP="00BA3BCF">
      <w:pPr>
        <w:jc w:val="both"/>
        <w:rPr>
          <w:sz w:val="24"/>
          <w:szCs w:val="24"/>
        </w:rPr>
      </w:pPr>
      <w:r w:rsidRPr="00DB0CA5">
        <w:rPr>
          <w:sz w:val="24"/>
          <w:szCs w:val="24"/>
        </w:rPr>
        <w:t xml:space="preserve">On February 2, 2016, Riverbend </w:t>
      </w:r>
      <w:proofErr w:type="gramStart"/>
      <w:r w:rsidR="001658CB" w:rsidRPr="00DB0CA5">
        <w:rPr>
          <w:sz w:val="24"/>
          <w:szCs w:val="24"/>
        </w:rPr>
        <w:t>submitted an application</w:t>
      </w:r>
      <w:proofErr w:type="gramEnd"/>
      <w:r w:rsidR="001658CB" w:rsidRPr="00DB0CA5">
        <w:rPr>
          <w:sz w:val="24"/>
          <w:szCs w:val="24"/>
        </w:rPr>
        <w:t xml:space="preserve"> requesting a renewal of the TVOP issued August 9, 2011.  </w:t>
      </w:r>
      <w:r w:rsidR="00E96C17" w:rsidRPr="00DB0CA5">
        <w:rPr>
          <w:sz w:val="24"/>
          <w:szCs w:val="24"/>
        </w:rPr>
        <w:t xml:space="preserve">Upon preliminary review of the application, MDEQ staff transmitted a Notice of Deficiency to the facility on April 6, 2016, that outlined several deficiencies (primarily missing information).  Accordingly, Riverbend submitted a revised application </w:t>
      </w:r>
      <w:r w:rsidR="002B46DA" w:rsidRPr="00DB0CA5">
        <w:rPr>
          <w:sz w:val="24"/>
          <w:szCs w:val="24"/>
        </w:rPr>
        <w:t xml:space="preserve">that addressed all indicated deficiencies </w:t>
      </w:r>
      <w:r w:rsidR="00E96C17" w:rsidRPr="00DB0CA5">
        <w:rPr>
          <w:sz w:val="24"/>
          <w:szCs w:val="24"/>
        </w:rPr>
        <w:t xml:space="preserve">on July 27, 2016.  </w:t>
      </w:r>
      <w:r w:rsidR="001658CB" w:rsidRPr="00DB0CA5">
        <w:rPr>
          <w:sz w:val="24"/>
          <w:szCs w:val="24"/>
        </w:rPr>
        <w:t xml:space="preserve">Within </w:t>
      </w:r>
      <w:r w:rsidR="00E96C17" w:rsidRPr="00DB0CA5">
        <w:rPr>
          <w:sz w:val="24"/>
          <w:szCs w:val="24"/>
        </w:rPr>
        <w:t xml:space="preserve">the overall </w:t>
      </w:r>
      <w:r w:rsidR="001658CB" w:rsidRPr="00DB0CA5">
        <w:rPr>
          <w:sz w:val="24"/>
          <w:szCs w:val="24"/>
        </w:rPr>
        <w:t xml:space="preserve">application, Riverbend outlined that the design capacity of the landfill would remain unchanged (i.e., 9,933,675 megagrams).  </w:t>
      </w:r>
    </w:p>
    <w:p w14:paraId="07CB8563" w14:textId="77777777" w:rsidR="00E96C17" w:rsidRPr="00DB0CA5" w:rsidRDefault="00E96C17" w:rsidP="00BA3BCF">
      <w:pPr>
        <w:jc w:val="both"/>
        <w:rPr>
          <w:sz w:val="24"/>
          <w:szCs w:val="24"/>
        </w:rPr>
      </w:pPr>
    </w:p>
    <w:p w14:paraId="22F88F2D" w14:textId="67E6C5F0" w:rsidR="00E96C17" w:rsidRPr="00DB0CA5" w:rsidRDefault="002B46DA" w:rsidP="00BA3BCF">
      <w:pPr>
        <w:jc w:val="both"/>
        <w:rPr>
          <w:sz w:val="24"/>
          <w:szCs w:val="24"/>
        </w:rPr>
      </w:pPr>
      <w:r w:rsidRPr="00DB0CA5">
        <w:rPr>
          <w:sz w:val="24"/>
          <w:szCs w:val="24"/>
        </w:rPr>
        <w:lastRenderedPageBreak/>
        <w:t xml:space="preserve">On January 3, 2021, </w:t>
      </w:r>
      <w:r w:rsidR="00B6185C" w:rsidRPr="00DB0CA5">
        <w:rPr>
          <w:sz w:val="24"/>
          <w:szCs w:val="24"/>
        </w:rPr>
        <w:t xml:space="preserve">Greenway submitted </w:t>
      </w:r>
      <w:r w:rsidRPr="00DB0CA5">
        <w:rPr>
          <w:sz w:val="24"/>
          <w:szCs w:val="24"/>
        </w:rPr>
        <w:t>a revised application to reflect their acquisition of the MSW landfill from Riverbend.</w:t>
      </w:r>
    </w:p>
    <w:p w14:paraId="2CE9300D" w14:textId="77777777" w:rsidR="002B46DA" w:rsidRPr="00DB0CA5" w:rsidRDefault="002B46DA" w:rsidP="00BA3BCF">
      <w:pPr>
        <w:jc w:val="both"/>
        <w:rPr>
          <w:sz w:val="24"/>
          <w:szCs w:val="24"/>
        </w:rPr>
      </w:pPr>
    </w:p>
    <w:p w14:paraId="0DD45309" w14:textId="78C5F7B9" w:rsidR="00DB0CA5" w:rsidRDefault="002B46DA" w:rsidP="00BA3BCF">
      <w:pPr>
        <w:jc w:val="both"/>
        <w:rPr>
          <w:sz w:val="24"/>
          <w:szCs w:val="24"/>
        </w:rPr>
      </w:pPr>
      <w:r w:rsidRPr="00DB0CA5">
        <w:rPr>
          <w:sz w:val="24"/>
          <w:szCs w:val="24"/>
        </w:rPr>
        <w:t xml:space="preserve">On September 9, 2025, </w:t>
      </w:r>
      <w:r w:rsidR="00B6185C" w:rsidRPr="00DB0CA5">
        <w:rPr>
          <w:sz w:val="24"/>
          <w:szCs w:val="24"/>
        </w:rPr>
        <w:t>Greenway submitted an updated</w:t>
      </w:r>
      <w:r w:rsidRPr="00DB0CA5">
        <w:rPr>
          <w:sz w:val="24"/>
          <w:szCs w:val="24"/>
        </w:rPr>
        <w:t xml:space="preserve"> revised application </w:t>
      </w:r>
      <w:r w:rsidR="004D180B" w:rsidRPr="00DB0CA5">
        <w:rPr>
          <w:sz w:val="24"/>
          <w:szCs w:val="24"/>
        </w:rPr>
        <w:t xml:space="preserve">to include the proposed </w:t>
      </w:r>
      <w:r w:rsidR="006111A1" w:rsidRPr="00DB0CA5">
        <w:rPr>
          <w:sz w:val="24"/>
          <w:szCs w:val="24"/>
        </w:rPr>
        <w:t>“</w:t>
      </w:r>
      <w:r w:rsidR="004D180B" w:rsidRPr="00DB0CA5">
        <w:rPr>
          <w:sz w:val="24"/>
          <w:szCs w:val="24"/>
        </w:rPr>
        <w:t>expansion</w:t>
      </w:r>
      <w:r w:rsidR="006111A1" w:rsidRPr="00DB0CA5">
        <w:rPr>
          <w:sz w:val="24"/>
          <w:szCs w:val="24"/>
        </w:rPr>
        <w:t>”</w:t>
      </w:r>
      <w:r w:rsidR="004D180B" w:rsidRPr="00DB0CA5">
        <w:rPr>
          <w:sz w:val="24"/>
          <w:szCs w:val="24"/>
        </w:rPr>
        <w:t xml:space="preserve"> of the landfill’s design capacity from 9,933,675 megagrams </w:t>
      </w:r>
      <w:r w:rsidR="006111A1" w:rsidRPr="00DB0CA5">
        <w:rPr>
          <w:sz w:val="24"/>
          <w:szCs w:val="24"/>
        </w:rPr>
        <w:t xml:space="preserve">to 17,096,441 megagrams </w:t>
      </w:r>
      <w:r w:rsidR="004D180B" w:rsidRPr="00DB0CA5">
        <w:rPr>
          <w:sz w:val="24"/>
          <w:szCs w:val="24"/>
        </w:rPr>
        <w:t>with the inclusion of twelve (12) additional cells</w:t>
      </w:r>
      <w:r w:rsidR="00B1364F" w:rsidRPr="00DB0CA5">
        <w:rPr>
          <w:sz w:val="24"/>
          <w:szCs w:val="24"/>
        </w:rPr>
        <w:t xml:space="preserve"> (</w:t>
      </w:r>
      <w:r w:rsidR="006413A7" w:rsidRPr="00DB0CA5">
        <w:rPr>
          <w:sz w:val="24"/>
          <w:szCs w:val="24"/>
        </w:rPr>
        <w:t>for solid waste regulatory purposes</w:t>
      </w:r>
      <w:r w:rsidR="00585EE9" w:rsidRPr="00DB0CA5">
        <w:rPr>
          <w:sz w:val="24"/>
          <w:szCs w:val="24"/>
        </w:rPr>
        <w:t>,</w:t>
      </w:r>
      <w:r w:rsidR="006413A7" w:rsidRPr="00DB0CA5">
        <w:rPr>
          <w:sz w:val="24"/>
          <w:szCs w:val="24"/>
        </w:rPr>
        <w:t xml:space="preserve"> </w:t>
      </w:r>
      <w:r w:rsidR="00B1364F" w:rsidRPr="00DB0CA5">
        <w:rPr>
          <w:sz w:val="24"/>
          <w:szCs w:val="24"/>
        </w:rPr>
        <w:t>the mentioned twelve (12) cells</w:t>
      </w:r>
      <w:r w:rsidR="006413A7" w:rsidRPr="00DB0CA5">
        <w:rPr>
          <w:sz w:val="24"/>
          <w:szCs w:val="24"/>
        </w:rPr>
        <w:t xml:space="preserve"> have always been </w:t>
      </w:r>
      <w:r w:rsidR="00B1364F" w:rsidRPr="00DB0CA5">
        <w:rPr>
          <w:sz w:val="24"/>
          <w:szCs w:val="24"/>
        </w:rPr>
        <w:t xml:space="preserve">considered part of the </w:t>
      </w:r>
      <w:r w:rsidR="00CD3A0B" w:rsidRPr="00DB0CA5">
        <w:rPr>
          <w:sz w:val="24"/>
          <w:szCs w:val="24"/>
        </w:rPr>
        <w:t xml:space="preserve">overall </w:t>
      </w:r>
      <w:r w:rsidR="00B1364F" w:rsidRPr="00DB0CA5">
        <w:rPr>
          <w:sz w:val="24"/>
          <w:szCs w:val="24"/>
        </w:rPr>
        <w:t xml:space="preserve">160.4-acre </w:t>
      </w:r>
      <w:r w:rsidR="006111A1" w:rsidRPr="00DB0CA5">
        <w:rPr>
          <w:sz w:val="24"/>
          <w:szCs w:val="24"/>
        </w:rPr>
        <w:t>footprint</w:t>
      </w:r>
      <w:r w:rsidR="00B1364F" w:rsidRPr="00DB0CA5">
        <w:rPr>
          <w:sz w:val="24"/>
          <w:szCs w:val="24"/>
        </w:rPr>
        <w:t>)</w:t>
      </w:r>
      <w:r w:rsidR="00DB0CA5">
        <w:rPr>
          <w:sz w:val="24"/>
          <w:szCs w:val="24"/>
        </w:rPr>
        <w:t xml:space="preserve"> and to formally clarify that the facility no longer has non-road stationary internal combustion engines on-site for emergency power generation</w:t>
      </w:r>
      <w:r w:rsidR="00B1364F" w:rsidRPr="00DB0CA5">
        <w:rPr>
          <w:sz w:val="24"/>
          <w:szCs w:val="24"/>
        </w:rPr>
        <w:t>.</w:t>
      </w:r>
      <w:r w:rsidR="006573BD" w:rsidRPr="00DB0CA5">
        <w:rPr>
          <w:sz w:val="24"/>
          <w:szCs w:val="24"/>
        </w:rPr>
        <w:t xml:space="preserve">  </w:t>
      </w:r>
    </w:p>
    <w:p w14:paraId="0E1682ED" w14:textId="77777777" w:rsidR="00DB0CA5" w:rsidRDefault="00DB0CA5" w:rsidP="00BA3BCF">
      <w:pPr>
        <w:jc w:val="both"/>
        <w:rPr>
          <w:sz w:val="24"/>
          <w:szCs w:val="24"/>
        </w:rPr>
      </w:pPr>
    </w:p>
    <w:p w14:paraId="5A013822" w14:textId="25822D74" w:rsidR="002B46DA" w:rsidRPr="00DB0CA5" w:rsidRDefault="006573BD" w:rsidP="00BA3BCF">
      <w:pPr>
        <w:jc w:val="both"/>
        <w:rPr>
          <w:sz w:val="24"/>
          <w:szCs w:val="24"/>
        </w:rPr>
      </w:pPr>
      <w:r w:rsidRPr="00DB0CA5">
        <w:rPr>
          <w:sz w:val="24"/>
          <w:szCs w:val="24"/>
        </w:rPr>
        <w:t>Despite the increase in design capacity, Greenway conveyed that the generation of non-methane organic compounds (NMOCs) – from waste degradation – has not exceeded the Federal regulatory threshold of 34 megagrams per year.  As such, the facility has not employed an active gas collection and control system (GCCS).</w:t>
      </w:r>
    </w:p>
    <w:p w14:paraId="0A3218CD" w14:textId="77777777" w:rsidR="00585EE9" w:rsidRPr="00DB0CA5" w:rsidRDefault="00585EE9" w:rsidP="00BA3BCF">
      <w:pPr>
        <w:jc w:val="both"/>
        <w:rPr>
          <w:sz w:val="24"/>
          <w:szCs w:val="24"/>
        </w:rPr>
      </w:pPr>
    </w:p>
    <w:p w14:paraId="4EB28C4C" w14:textId="2C2B864C" w:rsidR="00585EE9" w:rsidRPr="00DB0CA5" w:rsidRDefault="00585EE9" w:rsidP="00BA3BCF">
      <w:pPr>
        <w:jc w:val="both"/>
        <w:rPr>
          <w:sz w:val="24"/>
          <w:szCs w:val="24"/>
        </w:rPr>
      </w:pPr>
      <w:r w:rsidRPr="00DB0CA5">
        <w:rPr>
          <w:sz w:val="24"/>
          <w:szCs w:val="24"/>
        </w:rPr>
        <w:t xml:space="preserve">As part of this proposed renewal permitting action, MDEQ is also addressing the following </w:t>
      </w:r>
      <w:r w:rsidR="006573BD" w:rsidRPr="00DB0CA5">
        <w:rPr>
          <w:sz w:val="24"/>
          <w:szCs w:val="24"/>
        </w:rPr>
        <w:t>502(b)(10) changes</w:t>
      </w:r>
      <w:r w:rsidRPr="00DB0CA5">
        <w:rPr>
          <w:sz w:val="24"/>
          <w:szCs w:val="24"/>
        </w:rPr>
        <w:t>:</w:t>
      </w:r>
    </w:p>
    <w:p w14:paraId="06F1D854" w14:textId="77777777" w:rsidR="00585EE9" w:rsidRPr="00DB0CA5" w:rsidRDefault="00585EE9" w:rsidP="00BA3BCF">
      <w:pPr>
        <w:jc w:val="both"/>
        <w:rPr>
          <w:sz w:val="24"/>
          <w:szCs w:val="24"/>
        </w:rPr>
      </w:pPr>
    </w:p>
    <w:p w14:paraId="5DEECF4C" w14:textId="10FF9BD8" w:rsidR="00585EE9" w:rsidRPr="00DB0CA5" w:rsidRDefault="006573BD" w:rsidP="006573BD">
      <w:pPr>
        <w:numPr>
          <w:ilvl w:val="0"/>
          <w:numId w:val="3"/>
        </w:numPr>
        <w:ind w:left="360"/>
        <w:jc w:val="both"/>
        <w:rPr>
          <w:sz w:val="24"/>
          <w:szCs w:val="24"/>
        </w:rPr>
      </w:pPr>
      <w:r w:rsidRPr="00DB0CA5">
        <w:rPr>
          <w:i/>
          <w:iCs/>
          <w:sz w:val="24"/>
          <w:szCs w:val="24"/>
          <w:u w:val="single"/>
        </w:rPr>
        <w:t>March 22, 2012</w:t>
      </w:r>
      <w:r w:rsidRPr="00DB0CA5">
        <w:rPr>
          <w:sz w:val="24"/>
          <w:szCs w:val="24"/>
        </w:rPr>
        <w:t>: Riverbend (the owner at the time) incorporated a solidification process.  This process utilizes bulking agents to solidify liquids and semi-liquids for adequate placement within the landfill.</w:t>
      </w:r>
    </w:p>
    <w:p w14:paraId="7DB9BE7A" w14:textId="77777777" w:rsidR="00DB0CA5" w:rsidRPr="00DB0CA5" w:rsidRDefault="00DB0CA5" w:rsidP="00DB0CA5">
      <w:pPr>
        <w:ind w:left="360"/>
        <w:jc w:val="both"/>
        <w:rPr>
          <w:sz w:val="24"/>
          <w:szCs w:val="24"/>
        </w:rPr>
      </w:pPr>
    </w:p>
    <w:p w14:paraId="06CE141D" w14:textId="13E54FA7" w:rsidR="001B570E" w:rsidRPr="00DB0CA5" w:rsidRDefault="006573BD" w:rsidP="00BA3BCF">
      <w:pPr>
        <w:numPr>
          <w:ilvl w:val="0"/>
          <w:numId w:val="3"/>
        </w:numPr>
        <w:ind w:left="360"/>
        <w:jc w:val="both"/>
        <w:rPr>
          <w:sz w:val="24"/>
          <w:szCs w:val="24"/>
        </w:rPr>
      </w:pPr>
      <w:r w:rsidRPr="00DB0CA5">
        <w:rPr>
          <w:i/>
          <w:iCs/>
          <w:sz w:val="24"/>
          <w:szCs w:val="24"/>
          <w:u w:val="single"/>
        </w:rPr>
        <w:t>March 13, 2024</w:t>
      </w:r>
      <w:r w:rsidRPr="00DB0CA5">
        <w:rPr>
          <w:sz w:val="24"/>
          <w:szCs w:val="24"/>
        </w:rPr>
        <w:t xml:space="preserve">: Greenway installed and commenced </w:t>
      </w:r>
      <w:r w:rsidR="00DB0CA5" w:rsidRPr="00DB0CA5">
        <w:rPr>
          <w:sz w:val="24"/>
          <w:szCs w:val="24"/>
        </w:rPr>
        <w:t xml:space="preserve">continuous </w:t>
      </w:r>
      <w:r w:rsidRPr="00DB0CA5">
        <w:rPr>
          <w:sz w:val="24"/>
          <w:szCs w:val="24"/>
        </w:rPr>
        <w:t>operation of a 5.5 MMBTU per hour natural gas-fired flare to min</w:t>
      </w:r>
      <w:r w:rsidR="00AD358F" w:rsidRPr="00DB0CA5">
        <w:rPr>
          <w:sz w:val="24"/>
          <w:szCs w:val="24"/>
        </w:rPr>
        <w:t>imize odor</w:t>
      </w:r>
      <w:r w:rsidR="00992374" w:rsidRPr="00DB0CA5">
        <w:rPr>
          <w:sz w:val="24"/>
          <w:szCs w:val="24"/>
        </w:rPr>
        <w:t xml:space="preserve"> from landfill gas passively venting to the atmosphere</w:t>
      </w:r>
      <w:r w:rsidR="00DB0CA5" w:rsidRPr="00DB0CA5">
        <w:rPr>
          <w:sz w:val="24"/>
          <w:szCs w:val="24"/>
        </w:rPr>
        <w:t>.  Based on additional information by Greenway, the denoted flare combust gas specifically captured from Cell 1-</w:t>
      </w:r>
      <w:r w:rsidR="00FB6567">
        <w:rPr>
          <w:sz w:val="24"/>
          <w:szCs w:val="24"/>
        </w:rPr>
        <w:t>5</w:t>
      </w:r>
      <w:r w:rsidR="00DB0CA5" w:rsidRPr="00DB0CA5">
        <w:rPr>
          <w:sz w:val="24"/>
          <w:szCs w:val="24"/>
        </w:rPr>
        <w:t>.</w:t>
      </w:r>
    </w:p>
    <w:p w14:paraId="23DD2D8A" w14:textId="77777777" w:rsidR="00DB0CA5" w:rsidRPr="00DB0CA5" w:rsidRDefault="00DB0CA5" w:rsidP="00DB0CA5">
      <w:pPr>
        <w:pStyle w:val="ListParagraph"/>
        <w:rPr>
          <w:sz w:val="24"/>
          <w:szCs w:val="24"/>
        </w:rPr>
      </w:pPr>
    </w:p>
    <w:p w14:paraId="295A8F0B" w14:textId="2FA94A45" w:rsidR="00DB0CA5" w:rsidRPr="005F16A1" w:rsidRDefault="00DB0CA5" w:rsidP="005F16A1">
      <w:pPr>
        <w:numPr>
          <w:ilvl w:val="0"/>
          <w:numId w:val="3"/>
        </w:numPr>
        <w:ind w:left="360"/>
        <w:jc w:val="both"/>
        <w:rPr>
          <w:sz w:val="24"/>
          <w:szCs w:val="24"/>
        </w:rPr>
      </w:pPr>
      <w:r w:rsidRPr="00DB0CA5">
        <w:rPr>
          <w:i/>
          <w:iCs/>
          <w:sz w:val="24"/>
          <w:szCs w:val="24"/>
          <w:u w:val="single"/>
        </w:rPr>
        <w:t>June 14, 2024</w:t>
      </w:r>
      <w:r w:rsidRPr="00DB0CA5">
        <w:rPr>
          <w:sz w:val="24"/>
          <w:szCs w:val="24"/>
        </w:rPr>
        <w:t xml:space="preserve">: Greenway installed and commenced continuous operation of </w:t>
      </w:r>
      <w:r w:rsidR="00FB6567">
        <w:rPr>
          <w:sz w:val="24"/>
          <w:szCs w:val="24"/>
        </w:rPr>
        <w:t xml:space="preserve">two (2) </w:t>
      </w:r>
      <w:r w:rsidRPr="00DB0CA5">
        <w:rPr>
          <w:sz w:val="24"/>
          <w:szCs w:val="24"/>
        </w:rPr>
        <w:t>5.5 MMBTU per hour natural gas-fired flare</w:t>
      </w:r>
      <w:r w:rsidR="00FB6567">
        <w:rPr>
          <w:sz w:val="24"/>
          <w:szCs w:val="24"/>
        </w:rPr>
        <w:t>s</w:t>
      </w:r>
      <w:r w:rsidRPr="00DB0CA5">
        <w:rPr>
          <w:sz w:val="24"/>
          <w:szCs w:val="24"/>
        </w:rPr>
        <w:t xml:space="preserve"> to minimize odor from landfill gas passively venting to the atmosphere.  The denoted flare combust gas </w:t>
      </w:r>
      <w:r w:rsidR="00FB6567">
        <w:rPr>
          <w:sz w:val="24"/>
          <w:szCs w:val="24"/>
        </w:rPr>
        <w:t xml:space="preserve">respectively </w:t>
      </w:r>
      <w:r w:rsidRPr="00DB0CA5">
        <w:rPr>
          <w:sz w:val="24"/>
          <w:szCs w:val="24"/>
        </w:rPr>
        <w:t>captured from Cell</w:t>
      </w:r>
      <w:r w:rsidR="00FB6567">
        <w:rPr>
          <w:sz w:val="24"/>
          <w:szCs w:val="24"/>
        </w:rPr>
        <w:t>s</w:t>
      </w:r>
      <w:r w:rsidRPr="00DB0CA5">
        <w:rPr>
          <w:sz w:val="24"/>
          <w:szCs w:val="24"/>
        </w:rPr>
        <w:t xml:space="preserve"> 1-4A</w:t>
      </w:r>
      <w:r w:rsidR="00FB6567">
        <w:rPr>
          <w:sz w:val="24"/>
          <w:szCs w:val="24"/>
        </w:rPr>
        <w:t xml:space="preserve"> and 1-4C</w:t>
      </w:r>
      <w:r w:rsidRPr="00DB0CA5">
        <w:rPr>
          <w:sz w:val="24"/>
          <w:szCs w:val="24"/>
        </w:rPr>
        <w:t>.</w:t>
      </w:r>
      <w:r w:rsidR="00FB6567">
        <w:rPr>
          <w:sz w:val="24"/>
          <w:szCs w:val="24"/>
        </w:rPr>
        <w:t xml:space="preserve">  While the document only denotes the installation and operation of one (1) flare, additional information received June 26, </w:t>
      </w:r>
      <w:proofErr w:type="gramStart"/>
      <w:r w:rsidR="00FB6567">
        <w:rPr>
          <w:sz w:val="24"/>
          <w:szCs w:val="24"/>
        </w:rPr>
        <w:t>2026</w:t>
      </w:r>
      <w:proofErr w:type="gramEnd"/>
      <w:r w:rsidR="00FB6567">
        <w:rPr>
          <w:sz w:val="24"/>
          <w:szCs w:val="24"/>
        </w:rPr>
        <w:t xml:space="preserve"> clarifies that original proposed change encompassed two (2) flares.</w:t>
      </w:r>
    </w:p>
    <w:p w14:paraId="7D615E95" w14:textId="77777777" w:rsidR="00BA3BCF" w:rsidRDefault="00BA3BCF" w:rsidP="00104CE2">
      <w:pPr>
        <w:jc w:val="both"/>
        <w:rPr>
          <w:sz w:val="24"/>
          <w:szCs w:val="24"/>
          <w:u w:val="single"/>
        </w:rPr>
      </w:pPr>
    </w:p>
    <w:p w14:paraId="1B768007" w14:textId="77777777" w:rsidR="00531513" w:rsidRDefault="00AB6090" w:rsidP="00104CE2">
      <w:pPr>
        <w:jc w:val="both"/>
        <w:rPr>
          <w:sz w:val="24"/>
          <w:szCs w:val="24"/>
        </w:rPr>
      </w:pPr>
      <w:r>
        <w:rPr>
          <w:sz w:val="24"/>
          <w:szCs w:val="24"/>
          <w:u w:val="single"/>
        </w:rPr>
        <w:t>COMPLIANCE ASSURANCE MONITORING (</w:t>
      </w:r>
      <w:r w:rsidR="00531513">
        <w:rPr>
          <w:sz w:val="24"/>
          <w:szCs w:val="24"/>
          <w:u w:val="single"/>
        </w:rPr>
        <w:t>CAM</w:t>
      </w:r>
      <w:r>
        <w:rPr>
          <w:sz w:val="24"/>
          <w:szCs w:val="24"/>
          <w:u w:val="single"/>
        </w:rPr>
        <w:t>)</w:t>
      </w:r>
      <w:r w:rsidR="00531513">
        <w:rPr>
          <w:sz w:val="24"/>
          <w:szCs w:val="24"/>
          <w:u w:val="single"/>
        </w:rPr>
        <w:t xml:space="preserve"> APPLICABILITY</w:t>
      </w:r>
    </w:p>
    <w:p w14:paraId="2C1A56CC" w14:textId="77777777" w:rsidR="00AD7559" w:rsidRPr="00AD7559" w:rsidRDefault="00AD7559" w:rsidP="00104CE2">
      <w:pPr>
        <w:jc w:val="both"/>
        <w:rPr>
          <w:sz w:val="24"/>
          <w:szCs w:val="24"/>
        </w:rPr>
      </w:pPr>
      <w:r w:rsidRPr="00AD7559">
        <w:rPr>
          <w:sz w:val="24"/>
          <w:szCs w:val="24"/>
        </w:rPr>
        <w:t xml:space="preserve">40 CFR Part 64 specifies the requirements for </w:t>
      </w:r>
      <w:r w:rsidR="00AB6090">
        <w:rPr>
          <w:sz w:val="24"/>
          <w:szCs w:val="24"/>
        </w:rPr>
        <w:t>CAM</w:t>
      </w:r>
      <w:r w:rsidRPr="00AD7559">
        <w:rPr>
          <w:sz w:val="24"/>
          <w:szCs w:val="24"/>
        </w:rPr>
        <w:t xml:space="preserve">.  The general applicability of this rule can be found in 40 CFR 64.2 and requires a Title V source to comply with the CAM requirements if </w:t>
      </w:r>
      <w:r>
        <w:rPr>
          <w:sz w:val="24"/>
          <w:szCs w:val="24"/>
        </w:rPr>
        <w:t>all three of the</w:t>
      </w:r>
      <w:r w:rsidRPr="00AD7559">
        <w:rPr>
          <w:sz w:val="24"/>
          <w:szCs w:val="24"/>
        </w:rPr>
        <w:t xml:space="preserve"> following criteria are met</w:t>
      </w:r>
      <w:r w:rsidR="006F0510">
        <w:rPr>
          <w:sz w:val="24"/>
          <w:szCs w:val="24"/>
        </w:rPr>
        <w:t xml:space="preserve"> for a pollutant-specific emission unit (PSEU)</w:t>
      </w:r>
      <w:r w:rsidRPr="00AD7559">
        <w:rPr>
          <w:sz w:val="24"/>
          <w:szCs w:val="24"/>
        </w:rPr>
        <w:t>:</w:t>
      </w:r>
    </w:p>
    <w:p w14:paraId="0980AA2D" w14:textId="77777777" w:rsidR="00AD7559" w:rsidRPr="00AD7559" w:rsidRDefault="00AD7559" w:rsidP="00104CE2">
      <w:pPr>
        <w:jc w:val="both"/>
        <w:rPr>
          <w:sz w:val="24"/>
          <w:szCs w:val="24"/>
        </w:rPr>
      </w:pPr>
    </w:p>
    <w:p w14:paraId="280D4090" w14:textId="77777777" w:rsidR="00AD7559" w:rsidRDefault="00AD7559" w:rsidP="002B0570">
      <w:pPr>
        <w:numPr>
          <w:ilvl w:val="0"/>
          <w:numId w:val="2"/>
        </w:numPr>
        <w:ind w:left="360" w:hanging="360"/>
        <w:jc w:val="both"/>
        <w:rPr>
          <w:sz w:val="24"/>
          <w:szCs w:val="24"/>
        </w:rPr>
      </w:pPr>
      <w:r w:rsidRPr="00AD7559">
        <w:rPr>
          <w:sz w:val="24"/>
          <w:szCs w:val="24"/>
        </w:rPr>
        <w:t>The unit is subject to an emission limitation or standard for a regulated air pollutant other than exem</w:t>
      </w:r>
      <w:r>
        <w:rPr>
          <w:sz w:val="24"/>
          <w:szCs w:val="24"/>
        </w:rPr>
        <w:t>ptions under 40 CFR 64.2(b)(1);</w:t>
      </w:r>
    </w:p>
    <w:p w14:paraId="6DAB80B7" w14:textId="77777777" w:rsidR="00585EE9" w:rsidRPr="00AD7559" w:rsidRDefault="00585EE9" w:rsidP="00585EE9">
      <w:pPr>
        <w:ind w:left="360"/>
        <w:jc w:val="both"/>
        <w:rPr>
          <w:sz w:val="24"/>
          <w:szCs w:val="24"/>
        </w:rPr>
      </w:pPr>
    </w:p>
    <w:p w14:paraId="1F72A157" w14:textId="77777777" w:rsidR="00AD7559" w:rsidRDefault="00AD7559" w:rsidP="002B0570">
      <w:pPr>
        <w:numPr>
          <w:ilvl w:val="0"/>
          <w:numId w:val="2"/>
        </w:numPr>
        <w:ind w:left="360" w:hanging="360"/>
        <w:jc w:val="both"/>
        <w:rPr>
          <w:sz w:val="24"/>
          <w:szCs w:val="24"/>
        </w:rPr>
      </w:pPr>
      <w:r w:rsidRPr="00AD7559">
        <w:rPr>
          <w:sz w:val="24"/>
          <w:szCs w:val="24"/>
        </w:rPr>
        <w:t xml:space="preserve">The unit uses a control device to </w:t>
      </w:r>
      <w:r>
        <w:rPr>
          <w:sz w:val="24"/>
          <w:szCs w:val="24"/>
        </w:rPr>
        <w:t>comply with</w:t>
      </w:r>
      <w:r w:rsidRPr="00AD7559">
        <w:rPr>
          <w:sz w:val="24"/>
          <w:szCs w:val="24"/>
        </w:rPr>
        <w:t xml:space="preserve"> the standard</w:t>
      </w:r>
      <w:r>
        <w:rPr>
          <w:sz w:val="24"/>
          <w:szCs w:val="24"/>
        </w:rPr>
        <w:t>;</w:t>
      </w:r>
      <w:r w:rsidRPr="00AD7559">
        <w:rPr>
          <w:sz w:val="24"/>
          <w:szCs w:val="24"/>
        </w:rPr>
        <w:t xml:space="preserve"> and</w:t>
      </w:r>
    </w:p>
    <w:p w14:paraId="317BCD88" w14:textId="77777777" w:rsidR="00585EE9" w:rsidRPr="00AD7559" w:rsidRDefault="00585EE9" w:rsidP="00585EE9">
      <w:pPr>
        <w:jc w:val="both"/>
        <w:rPr>
          <w:sz w:val="24"/>
          <w:szCs w:val="24"/>
        </w:rPr>
      </w:pPr>
    </w:p>
    <w:p w14:paraId="0BA455F5" w14:textId="77777777" w:rsidR="00AD7559" w:rsidRPr="00AD7559" w:rsidRDefault="00AD7559" w:rsidP="002B0570">
      <w:pPr>
        <w:numPr>
          <w:ilvl w:val="0"/>
          <w:numId w:val="2"/>
        </w:numPr>
        <w:ind w:left="360" w:hanging="360"/>
        <w:jc w:val="both"/>
        <w:rPr>
          <w:sz w:val="24"/>
          <w:szCs w:val="24"/>
        </w:rPr>
      </w:pPr>
      <w:r w:rsidRPr="00AD7559">
        <w:rPr>
          <w:sz w:val="24"/>
          <w:szCs w:val="24"/>
        </w:rPr>
        <w:t xml:space="preserve">The unit has pre-control emissions exceeding </w:t>
      </w:r>
      <w:r w:rsidR="00C72133">
        <w:rPr>
          <w:sz w:val="24"/>
          <w:szCs w:val="24"/>
        </w:rPr>
        <w:t>Title V major source threshold</w:t>
      </w:r>
      <w:r w:rsidRPr="00AD7559">
        <w:rPr>
          <w:sz w:val="24"/>
          <w:szCs w:val="24"/>
        </w:rPr>
        <w:t>.</w:t>
      </w:r>
    </w:p>
    <w:p w14:paraId="3A825931" w14:textId="77777777" w:rsidR="00AD7559" w:rsidRPr="00AD7559" w:rsidRDefault="00AD7559" w:rsidP="002B0570">
      <w:pPr>
        <w:ind w:left="360"/>
        <w:jc w:val="both"/>
        <w:rPr>
          <w:sz w:val="24"/>
          <w:szCs w:val="24"/>
        </w:rPr>
      </w:pPr>
    </w:p>
    <w:p w14:paraId="3FDBA129" w14:textId="4665D3CD" w:rsidR="00585EE9" w:rsidRPr="00DB0CA5" w:rsidRDefault="00585EE9" w:rsidP="00104CE2">
      <w:pPr>
        <w:jc w:val="both"/>
        <w:rPr>
          <w:sz w:val="24"/>
          <w:szCs w:val="24"/>
        </w:rPr>
      </w:pPr>
      <w:r w:rsidRPr="00DB0CA5">
        <w:rPr>
          <w:sz w:val="24"/>
          <w:szCs w:val="24"/>
        </w:rPr>
        <w:lastRenderedPageBreak/>
        <w:t xml:space="preserve">As the MSW landfill (i.e., the PSEU) is not subject </w:t>
      </w:r>
      <w:r w:rsidR="007F0FA3" w:rsidRPr="00DB0CA5">
        <w:rPr>
          <w:sz w:val="24"/>
          <w:szCs w:val="24"/>
        </w:rPr>
        <w:t>to an</w:t>
      </w:r>
      <w:r w:rsidRPr="00DB0CA5">
        <w:rPr>
          <w:sz w:val="24"/>
          <w:szCs w:val="24"/>
        </w:rPr>
        <w:t xml:space="preserve"> emission limit </w:t>
      </w:r>
      <w:r w:rsidR="007F0FA3" w:rsidRPr="00DB0CA5">
        <w:rPr>
          <w:sz w:val="24"/>
          <w:szCs w:val="24"/>
        </w:rPr>
        <w:t xml:space="preserve">that meets the indicated criteria </w:t>
      </w:r>
      <w:r w:rsidRPr="00DB0CA5">
        <w:rPr>
          <w:sz w:val="24"/>
          <w:szCs w:val="24"/>
        </w:rPr>
        <w:t xml:space="preserve">nor is there any control equipment associated with the landfill, CAM </w:t>
      </w:r>
      <w:r w:rsidRPr="00DB0CA5">
        <w:rPr>
          <w:sz w:val="24"/>
          <w:szCs w:val="24"/>
          <w:u w:val="single"/>
        </w:rPr>
        <w:t>is not</w:t>
      </w:r>
      <w:r w:rsidRPr="00DB0CA5">
        <w:rPr>
          <w:sz w:val="24"/>
          <w:szCs w:val="24"/>
        </w:rPr>
        <w:t xml:space="preserve"> applicable.</w:t>
      </w:r>
    </w:p>
    <w:p w14:paraId="797D2296" w14:textId="77777777" w:rsidR="00531513" w:rsidRDefault="00531513" w:rsidP="00531513">
      <w:pPr>
        <w:rPr>
          <w:sz w:val="24"/>
          <w:szCs w:val="24"/>
        </w:rPr>
      </w:pPr>
    </w:p>
    <w:p w14:paraId="50A4DA50" w14:textId="77777777" w:rsidR="00531513" w:rsidRDefault="00AE4F70" w:rsidP="00104CE2">
      <w:pPr>
        <w:jc w:val="both"/>
        <w:rPr>
          <w:sz w:val="24"/>
          <w:szCs w:val="24"/>
        </w:rPr>
      </w:pPr>
      <w:r>
        <w:rPr>
          <w:sz w:val="24"/>
          <w:szCs w:val="24"/>
          <w:u w:val="single"/>
        </w:rPr>
        <w:t xml:space="preserve">NATIONAL EMISSION STANDARDS FOR HAZARDOUS AIR POLLUTANTS (NESHAP) </w:t>
      </w:r>
      <w:r w:rsidR="00531513">
        <w:rPr>
          <w:sz w:val="24"/>
          <w:szCs w:val="24"/>
          <w:u w:val="single"/>
        </w:rPr>
        <w:t>APPLICABILITY</w:t>
      </w:r>
    </w:p>
    <w:p w14:paraId="5F5818C9" w14:textId="443739E4" w:rsidR="00531513" w:rsidRDefault="007B7D2B" w:rsidP="00104CE2">
      <w:pPr>
        <w:jc w:val="both"/>
        <w:rPr>
          <w:iCs/>
          <w:sz w:val="24"/>
          <w:szCs w:val="24"/>
        </w:rPr>
      </w:pPr>
      <w:r w:rsidRPr="00434A63">
        <w:rPr>
          <w:b/>
          <w:i/>
          <w:sz w:val="24"/>
          <w:szCs w:val="24"/>
        </w:rPr>
        <w:t>40 CFR Part 61, Subpart M –</w:t>
      </w:r>
      <w:r w:rsidRPr="00434A63">
        <w:rPr>
          <w:b/>
          <w:bCs/>
          <w:i/>
          <w:sz w:val="24"/>
          <w:szCs w:val="24"/>
        </w:rPr>
        <w:t>National Emission Standards for Asbestos</w:t>
      </w:r>
      <w:r w:rsidRPr="00434A63">
        <w:rPr>
          <w:iCs/>
          <w:sz w:val="24"/>
          <w:szCs w:val="24"/>
        </w:rPr>
        <w:t xml:space="preserve">:  The provisions of Subpart M are applicable to an active waste disposal site that receives asbestos-containing materials </w:t>
      </w:r>
      <w:r w:rsidR="00434A63" w:rsidRPr="00434A63">
        <w:rPr>
          <w:iCs/>
          <w:sz w:val="24"/>
          <w:szCs w:val="24"/>
        </w:rPr>
        <w:t xml:space="preserve">for final disposal </w:t>
      </w:r>
      <w:r w:rsidRPr="00434A63">
        <w:rPr>
          <w:iCs/>
          <w:sz w:val="24"/>
          <w:szCs w:val="24"/>
        </w:rPr>
        <w:t xml:space="preserve">from sources </w:t>
      </w:r>
      <w:r w:rsidR="00434A63" w:rsidRPr="00434A63">
        <w:rPr>
          <w:iCs/>
          <w:sz w:val="24"/>
          <w:szCs w:val="24"/>
        </w:rPr>
        <w:t>also applicable to Subpart M</w:t>
      </w:r>
      <w:r w:rsidRPr="00434A63">
        <w:rPr>
          <w:iCs/>
          <w:sz w:val="24"/>
          <w:szCs w:val="24"/>
        </w:rPr>
        <w:t xml:space="preserve">. </w:t>
      </w:r>
      <w:r w:rsidR="00434A63" w:rsidRPr="00434A63">
        <w:rPr>
          <w:iCs/>
          <w:sz w:val="24"/>
          <w:szCs w:val="24"/>
        </w:rPr>
        <w:t xml:space="preserve"> Given that Greenway has denoted that it will accept waste that asbestos-containing material, the landfill is subject to Subpart M</w:t>
      </w:r>
      <w:r w:rsidRPr="00434A63">
        <w:rPr>
          <w:iCs/>
          <w:sz w:val="24"/>
          <w:szCs w:val="24"/>
        </w:rPr>
        <w:t>.</w:t>
      </w:r>
    </w:p>
    <w:p w14:paraId="44DD870C" w14:textId="77777777" w:rsidR="00434A63" w:rsidRDefault="00434A63" w:rsidP="00104CE2">
      <w:pPr>
        <w:jc w:val="both"/>
        <w:rPr>
          <w:iCs/>
          <w:sz w:val="24"/>
          <w:szCs w:val="24"/>
        </w:rPr>
      </w:pPr>
    </w:p>
    <w:p w14:paraId="63D0BC27" w14:textId="6B198FFD" w:rsidR="00434A63" w:rsidRPr="008F48E4" w:rsidRDefault="00434A63" w:rsidP="00DE72B9">
      <w:pPr>
        <w:jc w:val="both"/>
        <w:rPr>
          <w:sz w:val="24"/>
          <w:szCs w:val="24"/>
        </w:rPr>
      </w:pPr>
      <w:r w:rsidRPr="008F48E4">
        <w:rPr>
          <w:b/>
          <w:i/>
          <w:sz w:val="24"/>
          <w:szCs w:val="24"/>
        </w:rPr>
        <w:t xml:space="preserve">40 CFR </w:t>
      </w:r>
      <w:r>
        <w:rPr>
          <w:b/>
          <w:i/>
          <w:sz w:val="24"/>
          <w:szCs w:val="24"/>
        </w:rPr>
        <w:t xml:space="preserve">Part </w:t>
      </w:r>
      <w:r w:rsidRPr="008F48E4">
        <w:rPr>
          <w:b/>
          <w:i/>
          <w:sz w:val="24"/>
          <w:szCs w:val="24"/>
        </w:rPr>
        <w:t>63</w:t>
      </w:r>
      <w:r>
        <w:rPr>
          <w:b/>
          <w:i/>
          <w:sz w:val="24"/>
          <w:szCs w:val="24"/>
        </w:rPr>
        <w:t>,</w:t>
      </w:r>
      <w:r w:rsidRPr="008F48E4">
        <w:rPr>
          <w:b/>
          <w:i/>
          <w:sz w:val="24"/>
          <w:szCs w:val="24"/>
        </w:rPr>
        <w:t xml:space="preserve"> Subpart AAAA</w:t>
      </w:r>
      <w:r>
        <w:rPr>
          <w:b/>
          <w:i/>
          <w:sz w:val="24"/>
          <w:szCs w:val="24"/>
        </w:rPr>
        <w:t xml:space="preserve"> – NESHAP: Municipal Solid Waste Landfills</w:t>
      </w:r>
      <w:r>
        <w:rPr>
          <w:sz w:val="24"/>
          <w:szCs w:val="24"/>
        </w:rPr>
        <w:t xml:space="preserve">:  </w:t>
      </w:r>
      <w:r w:rsidRPr="008F48E4">
        <w:rPr>
          <w:sz w:val="24"/>
          <w:szCs w:val="24"/>
        </w:rPr>
        <w:t>The provisions of Subpart AAAA are applicable to a municipal solid waste (MSW) landfill that has accepted w</w:t>
      </w:r>
      <w:r>
        <w:rPr>
          <w:sz w:val="24"/>
          <w:szCs w:val="24"/>
        </w:rPr>
        <w:t xml:space="preserve">aste since November 8, 1987, </w:t>
      </w:r>
      <w:r w:rsidRPr="008F48E4">
        <w:rPr>
          <w:sz w:val="24"/>
          <w:szCs w:val="24"/>
        </w:rPr>
        <w:t>has additional capacity for waste deposition</w:t>
      </w:r>
      <w:r>
        <w:rPr>
          <w:sz w:val="24"/>
          <w:szCs w:val="24"/>
        </w:rPr>
        <w:t>,</w:t>
      </w:r>
      <w:r w:rsidRPr="008F48E4">
        <w:rPr>
          <w:sz w:val="24"/>
          <w:szCs w:val="24"/>
        </w:rPr>
        <w:t xml:space="preserve"> and meets any one</w:t>
      </w:r>
      <w:r>
        <w:rPr>
          <w:sz w:val="24"/>
          <w:szCs w:val="24"/>
        </w:rPr>
        <w:t xml:space="preserve"> </w:t>
      </w:r>
      <w:r w:rsidRPr="008F48E4">
        <w:rPr>
          <w:sz w:val="24"/>
          <w:szCs w:val="24"/>
        </w:rPr>
        <w:t xml:space="preserve">of the three </w:t>
      </w:r>
      <w:r>
        <w:rPr>
          <w:sz w:val="24"/>
          <w:szCs w:val="24"/>
        </w:rPr>
        <w:t xml:space="preserve">following </w:t>
      </w:r>
      <w:r w:rsidRPr="008F48E4">
        <w:rPr>
          <w:sz w:val="24"/>
          <w:szCs w:val="24"/>
        </w:rPr>
        <w:t>criteri</w:t>
      </w:r>
      <w:r>
        <w:rPr>
          <w:sz w:val="24"/>
          <w:szCs w:val="24"/>
        </w:rPr>
        <w:t>a</w:t>
      </w:r>
      <w:r w:rsidRPr="008F48E4">
        <w:rPr>
          <w:sz w:val="24"/>
          <w:szCs w:val="24"/>
        </w:rPr>
        <w:t>:</w:t>
      </w:r>
    </w:p>
    <w:p w14:paraId="59CF22F2" w14:textId="6DF1DF2E" w:rsidR="00434A63" w:rsidRPr="008F48E4" w:rsidRDefault="00434A63" w:rsidP="00434A63">
      <w:pPr>
        <w:numPr>
          <w:ilvl w:val="0"/>
          <w:numId w:val="4"/>
        </w:numPr>
        <w:spacing w:before="240"/>
        <w:ind w:left="360"/>
        <w:jc w:val="both"/>
        <w:rPr>
          <w:sz w:val="24"/>
          <w:szCs w:val="24"/>
        </w:rPr>
      </w:pPr>
      <w:r w:rsidRPr="008F48E4">
        <w:rPr>
          <w:sz w:val="24"/>
          <w:szCs w:val="24"/>
        </w:rPr>
        <w:t>The MSW landfill is a major source o</w:t>
      </w:r>
      <w:r>
        <w:rPr>
          <w:sz w:val="24"/>
          <w:szCs w:val="24"/>
        </w:rPr>
        <w:t xml:space="preserve">f HAPs as defined in 40 CFR 63.2, Subpart A; </w:t>
      </w:r>
    </w:p>
    <w:p w14:paraId="7A7C84A3" w14:textId="77777777" w:rsidR="00434A63" w:rsidRPr="008F48E4" w:rsidRDefault="00434A63" w:rsidP="00434A63">
      <w:pPr>
        <w:numPr>
          <w:ilvl w:val="0"/>
          <w:numId w:val="4"/>
        </w:numPr>
        <w:spacing w:before="240"/>
        <w:ind w:left="360"/>
        <w:jc w:val="both"/>
        <w:rPr>
          <w:sz w:val="24"/>
          <w:szCs w:val="24"/>
        </w:rPr>
      </w:pPr>
      <w:r w:rsidRPr="008F48E4">
        <w:rPr>
          <w:sz w:val="24"/>
          <w:szCs w:val="24"/>
        </w:rPr>
        <w:t>The MSW landfill is collocated with a major source as defined in 40 CFR 63.2</w:t>
      </w:r>
      <w:r>
        <w:rPr>
          <w:sz w:val="24"/>
          <w:szCs w:val="24"/>
        </w:rPr>
        <w:t>, Subpart A; or</w:t>
      </w:r>
    </w:p>
    <w:p w14:paraId="12668F92" w14:textId="030236B7" w:rsidR="00434A63" w:rsidRDefault="00434A63" w:rsidP="00434A63">
      <w:pPr>
        <w:numPr>
          <w:ilvl w:val="0"/>
          <w:numId w:val="4"/>
        </w:numPr>
        <w:spacing w:before="240"/>
        <w:ind w:left="360"/>
        <w:jc w:val="both"/>
        <w:rPr>
          <w:sz w:val="24"/>
          <w:szCs w:val="24"/>
        </w:rPr>
      </w:pPr>
      <w:r w:rsidRPr="008F48E4">
        <w:rPr>
          <w:sz w:val="24"/>
          <w:szCs w:val="24"/>
        </w:rPr>
        <w:t xml:space="preserve">The MSW landfill is an area source that has a design capacity </w:t>
      </w:r>
      <w:r>
        <w:rPr>
          <w:sz w:val="24"/>
          <w:szCs w:val="24"/>
        </w:rPr>
        <w:t>equal to / greater than</w:t>
      </w:r>
      <w:r w:rsidRPr="008F48E4">
        <w:rPr>
          <w:sz w:val="24"/>
          <w:szCs w:val="24"/>
        </w:rPr>
        <w:t xml:space="preserve"> 2.5 </w:t>
      </w:r>
      <w:r>
        <w:rPr>
          <w:sz w:val="24"/>
          <w:szCs w:val="24"/>
        </w:rPr>
        <w:t>megagrams</w:t>
      </w:r>
      <w:r w:rsidRPr="008F48E4">
        <w:rPr>
          <w:sz w:val="24"/>
          <w:szCs w:val="24"/>
        </w:rPr>
        <w:t xml:space="preserve"> and 2.5 million cubic meters </w:t>
      </w:r>
      <w:r w:rsidRPr="002C782E">
        <w:rPr>
          <w:b/>
          <w:sz w:val="24"/>
          <w:szCs w:val="24"/>
          <w:u w:val="single"/>
        </w:rPr>
        <w:t>and</w:t>
      </w:r>
      <w:r w:rsidRPr="008F48E4">
        <w:rPr>
          <w:sz w:val="24"/>
          <w:szCs w:val="24"/>
        </w:rPr>
        <w:t xml:space="preserve"> has</w:t>
      </w:r>
      <w:r>
        <w:rPr>
          <w:sz w:val="24"/>
          <w:szCs w:val="24"/>
        </w:rPr>
        <w:t xml:space="preserve"> an</w:t>
      </w:r>
      <w:r w:rsidRPr="008F48E4">
        <w:rPr>
          <w:sz w:val="24"/>
          <w:szCs w:val="24"/>
        </w:rPr>
        <w:t xml:space="preserve"> estimated un</w:t>
      </w:r>
      <w:r>
        <w:rPr>
          <w:sz w:val="24"/>
          <w:szCs w:val="24"/>
        </w:rPr>
        <w:t>controlled emissions equal to /</w:t>
      </w:r>
      <w:r w:rsidRPr="008F48E4">
        <w:rPr>
          <w:sz w:val="24"/>
          <w:szCs w:val="24"/>
        </w:rPr>
        <w:t xml:space="preserve"> greater than 50 </w:t>
      </w:r>
      <w:r>
        <w:rPr>
          <w:sz w:val="24"/>
          <w:szCs w:val="24"/>
        </w:rPr>
        <w:t xml:space="preserve">megagrams of NMOCs per year </w:t>
      </w:r>
      <w:r w:rsidRPr="008F48E4">
        <w:rPr>
          <w:sz w:val="24"/>
          <w:szCs w:val="24"/>
        </w:rPr>
        <w:t xml:space="preserve">as calculated </w:t>
      </w:r>
      <w:r>
        <w:rPr>
          <w:sz w:val="24"/>
          <w:szCs w:val="24"/>
        </w:rPr>
        <w:t>in accordance with</w:t>
      </w:r>
      <w:r w:rsidRPr="008F48E4">
        <w:rPr>
          <w:sz w:val="24"/>
          <w:szCs w:val="24"/>
        </w:rPr>
        <w:t xml:space="preserve"> </w:t>
      </w:r>
      <w:r>
        <w:rPr>
          <w:sz w:val="24"/>
          <w:szCs w:val="24"/>
        </w:rPr>
        <w:t>the subpart</w:t>
      </w:r>
      <w:r w:rsidRPr="008F48E4">
        <w:rPr>
          <w:sz w:val="24"/>
          <w:szCs w:val="24"/>
        </w:rPr>
        <w:t>.</w:t>
      </w:r>
    </w:p>
    <w:p w14:paraId="4FDACB4C" w14:textId="77777777" w:rsidR="00434A63" w:rsidRPr="00434A63" w:rsidRDefault="00434A63" w:rsidP="00DE72B9">
      <w:pPr>
        <w:jc w:val="both"/>
        <w:rPr>
          <w:sz w:val="24"/>
          <w:szCs w:val="24"/>
        </w:rPr>
      </w:pPr>
    </w:p>
    <w:p w14:paraId="569F334D" w14:textId="347FEB1D" w:rsidR="000417AE" w:rsidRPr="00434A63" w:rsidRDefault="000417AE" w:rsidP="00104CE2">
      <w:pPr>
        <w:jc w:val="both"/>
        <w:rPr>
          <w:iCs/>
          <w:sz w:val="24"/>
          <w:szCs w:val="24"/>
        </w:rPr>
      </w:pPr>
      <w:r>
        <w:rPr>
          <w:iCs/>
          <w:sz w:val="24"/>
          <w:szCs w:val="24"/>
        </w:rPr>
        <w:t>The landfill is considered an area source for HAPs (based on its potential-to-emit emissions profile) and not collocated with another source that could be considered HAP major source.  In addition, while the landfill is an area source and has a design capacity that exceeds the referenced thresholds (for mass and volume), it does not have the capability to generate uncontrolled emissions equal to / greater than 50 megagrams of NMOCs per year (40 CFR Part 60, Subpart XXX restricts a landfill’s potential-to-emit NMOCs uncontrolled to no more than 34 megagrams per year before the facility must install a GCCS).  Therefore, Greenway is not subject to Subpart AAAA.</w:t>
      </w:r>
    </w:p>
    <w:p w14:paraId="51BBBC2C" w14:textId="77777777" w:rsidR="00AE4F70" w:rsidRDefault="00AE4F70" w:rsidP="00104CE2">
      <w:pPr>
        <w:jc w:val="both"/>
        <w:rPr>
          <w:sz w:val="24"/>
          <w:szCs w:val="24"/>
        </w:rPr>
      </w:pPr>
    </w:p>
    <w:p w14:paraId="2A2EC611" w14:textId="77777777" w:rsidR="00AE4F70" w:rsidRDefault="00AE4F70" w:rsidP="00104CE2">
      <w:pPr>
        <w:jc w:val="both"/>
        <w:rPr>
          <w:sz w:val="24"/>
          <w:szCs w:val="24"/>
          <w:u w:val="single"/>
        </w:rPr>
      </w:pPr>
      <w:r>
        <w:rPr>
          <w:sz w:val="24"/>
          <w:szCs w:val="24"/>
          <w:u w:val="single"/>
        </w:rPr>
        <w:t>NEW SOURCE PERFORMANCE STANDARDS (NSPS) APPLICABILITY</w:t>
      </w:r>
    </w:p>
    <w:p w14:paraId="6A109C7F" w14:textId="41E692B1" w:rsidR="0011723C" w:rsidRDefault="000417AE" w:rsidP="00104CE2">
      <w:pPr>
        <w:jc w:val="both"/>
        <w:rPr>
          <w:bCs/>
          <w:iCs/>
          <w:sz w:val="24"/>
          <w:szCs w:val="24"/>
        </w:rPr>
      </w:pPr>
      <w:r w:rsidRPr="005F16A1">
        <w:rPr>
          <w:b/>
          <w:i/>
          <w:sz w:val="24"/>
          <w:szCs w:val="24"/>
        </w:rPr>
        <w:t>40 CFR Part 60, Subpart Cf</w:t>
      </w:r>
      <w:r w:rsidR="005F16A1" w:rsidRPr="005F16A1">
        <w:rPr>
          <w:b/>
          <w:i/>
          <w:sz w:val="24"/>
          <w:szCs w:val="24"/>
        </w:rPr>
        <w:t xml:space="preserve"> – Emission Guidelines and Compliance Times for Municipal Solid Waste Landfills</w:t>
      </w:r>
      <w:r w:rsidR="005F16A1" w:rsidRPr="005F16A1">
        <w:rPr>
          <w:b/>
          <w:iCs/>
          <w:sz w:val="24"/>
          <w:szCs w:val="24"/>
        </w:rPr>
        <w:t>:</w:t>
      </w:r>
      <w:r w:rsidR="005F16A1">
        <w:rPr>
          <w:bCs/>
          <w:i/>
          <w:sz w:val="24"/>
          <w:szCs w:val="24"/>
        </w:rPr>
        <w:t xml:space="preserve">  </w:t>
      </w:r>
      <w:r w:rsidR="005F16A1" w:rsidRPr="005F16A1">
        <w:rPr>
          <w:bCs/>
          <w:iCs/>
          <w:sz w:val="24"/>
          <w:szCs w:val="24"/>
        </w:rPr>
        <w:t>The provisions of Subpart Cf apply to any MSW landfill that commenced</w:t>
      </w:r>
      <w:r w:rsidR="00CC0220">
        <w:rPr>
          <w:bCs/>
          <w:iCs/>
          <w:sz w:val="24"/>
          <w:szCs w:val="24"/>
        </w:rPr>
        <w:t xml:space="preserve"> construction</w:t>
      </w:r>
      <w:r w:rsidR="005F16A1" w:rsidRPr="005F16A1">
        <w:rPr>
          <w:bCs/>
          <w:iCs/>
          <w:sz w:val="24"/>
          <w:szCs w:val="24"/>
        </w:rPr>
        <w:t>, modification, or reconstruction on or before July 17, 2014.</w:t>
      </w:r>
      <w:r w:rsidR="005F16A1">
        <w:rPr>
          <w:bCs/>
          <w:i/>
          <w:sz w:val="24"/>
          <w:szCs w:val="24"/>
        </w:rPr>
        <w:t xml:space="preserve">  </w:t>
      </w:r>
      <w:r w:rsidR="002A7208">
        <w:rPr>
          <w:bCs/>
          <w:i/>
          <w:sz w:val="24"/>
          <w:szCs w:val="24"/>
        </w:rPr>
        <w:t>However, a</w:t>
      </w:r>
      <w:r w:rsidR="00142084" w:rsidRPr="002A7208">
        <w:rPr>
          <w:bCs/>
          <w:iCs/>
          <w:sz w:val="24"/>
          <w:szCs w:val="24"/>
        </w:rPr>
        <w:t xml:space="preserve">s </w:t>
      </w:r>
      <w:r w:rsidR="00142084">
        <w:rPr>
          <w:bCs/>
          <w:iCs/>
          <w:sz w:val="24"/>
          <w:szCs w:val="24"/>
        </w:rPr>
        <w:t xml:space="preserve">an “emissions guideline”, a </w:t>
      </w:r>
      <w:r w:rsidR="002A7208">
        <w:rPr>
          <w:bCs/>
          <w:iCs/>
          <w:sz w:val="24"/>
          <w:szCs w:val="24"/>
        </w:rPr>
        <w:t xml:space="preserve">facility only becomes subject to Subpart Cf once the applicable environmental permit </w:t>
      </w:r>
      <w:r w:rsidR="00142084">
        <w:rPr>
          <w:bCs/>
          <w:iCs/>
          <w:sz w:val="24"/>
          <w:szCs w:val="24"/>
        </w:rPr>
        <w:t xml:space="preserve">regulatory authority </w:t>
      </w:r>
      <w:r w:rsidR="002A7208">
        <w:rPr>
          <w:bCs/>
          <w:iCs/>
          <w:sz w:val="24"/>
          <w:szCs w:val="24"/>
        </w:rPr>
        <w:t xml:space="preserve">receives delegated authority through EPA’s approval of </w:t>
      </w:r>
      <w:r w:rsidR="00142084">
        <w:rPr>
          <w:bCs/>
          <w:iCs/>
          <w:sz w:val="24"/>
          <w:szCs w:val="24"/>
        </w:rPr>
        <w:t xml:space="preserve">a State Plan completed in accordance with 40 CFR Part </w:t>
      </w:r>
      <w:r w:rsidR="002A7208">
        <w:rPr>
          <w:bCs/>
          <w:iCs/>
          <w:sz w:val="24"/>
          <w:szCs w:val="24"/>
        </w:rPr>
        <w:t xml:space="preserve">60, Subpart </w:t>
      </w:r>
      <w:r w:rsidR="00142084">
        <w:rPr>
          <w:bCs/>
          <w:iCs/>
          <w:sz w:val="24"/>
          <w:szCs w:val="24"/>
        </w:rPr>
        <w:t xml:space="preserve">Ba </w:t>
      </w:r>
      <w:r w:rsidR="002A7208">
        <w:rPr>
          <w:bCs/>
          <w:iCs/>
          <w:sz w:val="24"/>
          <w:szCs w:val="24"/>
        </w:rPr>
        <w:t>(</w:t>
      </w:r>
      <w:r w:rsidR="00142084">
        <w:rPr>
          <w:bCs/>
          <w:iCs/>
          <w:sz w:val="24"/>
          <w:szCs w:val="24"/>
        </w:rPr>
        <w:t>Adoption and Submittal of State Plans for Designated Facilities</w:t>
      </w:r>
      <w:r w:rsidR="002A7208">
        <w:rPr>
          <w:bCs/>
          <w:iCs/>
          <w:sz w:val="24"/>
          <w:szCs w:val="24"/>
        </w:rPr>
        <w:t>)</w:t>
      </w:r>
      <w:r w:rsidR="00142084">
        <w:rPr>
          <w:bCs/>
          <w:iCs/>
          <w:sz w:val="24"/>
          <w:szCs w:val="24"/>
        </w:rPr>
        <w:t>.</w:t>
      </w:r>
      <w:r w:rsidR="002A7208">
        <w:rPr>
          <w:bCs/>
          <w:iCs/>
          <w:sz w:val="24"/>
          <w:szCs w:val="24"/>
        </w:rPr>
        <w:t xml:space="preserve">  </w:t>
      </w:r>
    </w:p>
    <w:p w14:paraId="204F36E4" w14:textId="77777777" w:rsidR="0011723C" w:rsidRDefault="0011723C" w:rsidP="00104CE2">
      <w:pPr>
        <w:jc w:val="both"/>
        <w:rPr>
          <w:bCs/>
          <w:iCs/>
          <w:sz w:val="24"/>
          <w:szCs w:val="24"/>
        </w:rPr>
      </w:pPr>
    </w:p>
    <w:p w14:paraId="5F714B19" w14:textId="5B31A721" w:rsidR="00AE4F70" w:rsidRDefault="002A7208" w:rsidP="00104CE2">
      <w:pPr>
        <w:jc w:val="both"/>
        <w:rPr>
          <w:bCs/>
          <w:iCs/>
          <w:sz w:val="24"/>
          <w:szCs w:val="24"/>
        </w:rPr>
      </w:pPr>
      <w:r>
        <w:rPr>
          <w:bCs/>
          <w:iCs/>
          <w:sz w:val="24"/>
          <w:szCs w:val="24"/>
        </w:rPr>
        <w:t xml:space="preserve">While MDEQ has not received delegated authority of Subpart Cf, Greenway has stated </w:t>
      </w:r>
      <w:r w:rsidR="00834C6B">
        <w:rPr>
          <w:bCs/>
          <w:iCs/>
          <w:sz w:val="24"/>
          <w:szCs w:val="24"/>
        </w:rPr>
        <w:t xml:space="preserve">construction of the proposed “expansion” will </w:t>
      </w:r>
      <w:r w:rsidR="0011723C">
        <w:rPr>
          <w:bCs/>
          <w:iCs/>
          <w:sz w:val="24"/>
          <w:szCs w:val="24"/>
        </w:rPr>
        <w:t xml:space="preserve">commence upon issuance of this renewed TVOP (along with the renewed solid waste permit).  As </w:t>
      </w:r>
      <w:r w:rsidR="00834C6B">
        <w:rPr>
          <w:bCs/>
          <w:iCs/>
          <w:sz w:val="24"/>
          <w:szCs w:val="24"/>
        </w:rPr>
        <w:t xml:space="preserve">construction of the denoted expansion will be </w:t>
      </w:r>
      <w:r w:rsidR="00834C6B">
        <w:rPr>
          <w:bCs/>
          <w:iCs/>
          <w:sz w:val="24"/>
          <w:szCs w:val="24"/>
        </w:rPr>
        <w:lastRenderedPageBreak/>
        <w:t xml:space="preserve">considered a “modification” (as defined by 40 CFR Part 60, Subpart XXX), Greenway </w:t>
      </w:r>
      <w:r w:rsidR="00E01977">
        <w:rPr>
          <w:bCs/>
          <w:iCs/>
          <w:sz w:val="24"/>
          <w:szCs w:val="24"/>
        </w:rPr>
        <w:t>will</w:t>
      </w:r>
      <w:r w:rsidR="00834C6B">
        <w:rPr>
          <w:bCs/>
          <w:iCs/>
          <w:sz w:val="24"/>
          <w:szCs w:val="24"/>
        </w:rPr>
        <w:t xml:space="preserve"> not be subject to Subpart Cf.</w:t>
      </w:r>
    </w:p>
    <w:p w14:paraId="484CECA7" w14:textId="77777777" w:rsidR="00CC0220" w:rsidRDefault="00CC0220" w:rsidP="00104CE2">
      <w:pPr>
        <w:jc w:val="both"/>
        <w:rPr>
          <w:bCs/>
          <w:iCs/>
          <w:sz w:val="24"/>
          <w:szCs w:val="24"/>
        </w:rPr>
      </w:pPr>
    </w:p>
    <w:p w14:paraId="381D6BE9" w14:textId="137BAA6E" w:rsidR="00CC0220" w:rsidRDefault="00CC0220" w:rsidP="00104CE2">
      <w:pPr>
        <w:jc w:val="both"/>
        <w:rPr>
          <w:bCs/>
          <w:iCs/>
          <w:sz w:val="24"/>
          <w:szCs w:val="24"/>
        </w:rPr>
      </w:pPr>
      <w:r w:rsidRPr="00CC0220">
        <w:rPr>
          <w:b/>
          <w:i/>
          <w:sz w:val="24"/>
          <w:szCs w:val="24"/>
        </w:rPr>
        <w:t xml:space="preserve">40 CFR Part 60, Subpart XXX </w:t>
      </w:r>
      <w:r w:rsidR="00E01977">
        <w:rPr>
          <w:b/>
          <w:i/>
          <w:sz w:val="24"/>
          <w:szCs w:val="24"/>
        </w:rPr>
        <w:t>–</w:t>
      </w:r>
      <w:r w:rsidRPr="00CC0220">
        <w:rPr>
          <w:b/>
          <w:i/>
          <w:sz w:val="24"/>
          <w:szCs w:val="24"/>
        </w:rPr>
        <w:t xml:space="preserve"> Standards of Performance for Municipal Solid Waste Landfills that Commenced Construction, Reconstruction, or Modification after July 17, 2014</w:t>
      </w:r>
      <w:r w:rsidRPr="00CC0220">
        <w:rPr>
          <w:b/>
          <w:iCs/>
          <w:sz w:val="24"/>
          <w:szCs w:val="24"/>
        </w:rPr>
        <w:t>:</w:t>
      </w:r>
      <w:r>
        <w:rPr>
          <w:bCs/>
          <w:iCs/>
          <w:sz w:val="24"/>
          <w:szCs w:val="24"/>
        </w:rPr>
        <w:t xml:space="preserve">  The provisions of Subpart XXX apply to any MSW landfill that commenced construction, reconstruction, or modification after July 17, 22014.  </w:t>
      </w:r>
      <w:r w:rsidRPr="00CC0220">
        <w:rPr>
          <w:bCs/>
          <w:iCs/>
          <w:sz w:val="24"/>
          <w:szCs w:val="24"/>
        </w:rPr>
        <w:t xml:space="preserve">As construction of the denoted expansion </w:t>
      </w:r>
      <w:r w:rsidR="00E01977">
        <w:rPr>
          <w:bCs/>
          <w:iCs/>
          <w:sz w:val="24"/>
          <w:szCs w:val="24"/>
        </w:rPr>
        <w:t xml:space="preserve">will be considered a “modification” and will </w:t>
      </w:r>
      <w:r>
        <w:rPr>
          <w:bCs/>
          <w:iCs/>
          <w:sz w:val="24"/>
          <w:szCs w:val="24"/>
        </w:rPr>
        <w:t>occur after the indicated “date of applicability</w:t>
      </w:r>
      <w:r w:rsidR="00E01977">
        <w:rPr>
          <w:bCs/>
          <w:iCs/>
          <w:sz w:val="24"/>
          <w:szCs w:val="24"/>
        </w:rPr>
        <w:t>”, Greenway will be subject to Subpart Cf upon issuance of this renewed TVOP</w:t>
      </w:r>
      <w:r w:rsidRPr="00CC0220">
        <w:rPr>
          <w:bCs/>
          <w:iCs/>
          <w:sz w:val="24"/>
          <w:szCs w:val="24"/>
        </w:rPr>
        <w:t>.</w:t>
      </w:r>
    </w:p>
    <w:p w14:paraId="3A267205" w14:textId="77777777" w:rsidR="00E01977" w:rsidRDefault="00E01977" w:rsidP="00104CE2">
      <w:pPr>
        <w:jc w:val="both"/>
        <w:rPr>
          <w:bCs/>
          <w:iCs/>
          <w:sz w:val="24"/>
          <w:szCs w:val="24"/>
        </w:rPr>
      </w:pPr>
    </w:p>
    <w:p w14:paraId="000F8E25" w14:textId="77777777" w:rsidR="00E01977" w:rsidRDefault="00E01977" w:rsidP="00E01977">
      <w:pPr>
        <w:jc w:val="both"/>
        <w:rPr>
          <w:sz w:val="24"/>
          <w:szCs w:val="24"/>
          <w:u w:val="single"/>
        </w:rPr>
      </w:pPr>
      <w:r>
        <w:rPr>
          <w:sz w:val="24"/>
          <w:szCs w:val="24"/>
          <w:u w:val="single"/>
        </w:rPr>
        <w:t>FEDERAL PLAN</w:t>
      </w:r>
    </w:p>
    <w:p w14:paraId="2072C8A6" w14:textId="1262EBDF" w:rsidR="00E01977" w:rsidRPr="00E01977" w:rsidRDefault="00E01977" w:rsidP="00E01977">
      <w:pPr>
        <w:keepNext/>
        <w:jc w:val="both"/>
        <w:rPr>
          <w:b/>
          <w:i/>
          <w:sz w:val="24"/>
          <w:szCs w:val="24"/>
        </w:rPr>
      </w:pPr>
      <w:r>
        <w:rPr>
          <w:b/>
          <w:i/>
          <w:sz w:val="24"/>
          <w:szCs w:val="24"/>
        </w:rPr>
        <w:t xml:space="preserve">40 CFR Part 62, Subpart OOO – </w:t>
      </w:r>
      <w:r w:rsidRPr="00FB386E">
        <w:rPr>
          <w:b/>
          <w:i/>
          <w:sz w:val="24"/>
          <w:szCs w:val="24"/>
        </w:rPr>
        <w:t>Federal Plan Requirements for Municipal Solid Waste Landfills That Commenced Construction On or Before July 17, 2014 and Have Not Been Modified or Reconstructed Since July 17, 2014</w:t>
      </w:r>
      <w:r>
        <w:rPr>
          <w:b/>
          <w:i/>
          <w:sz w:val="24"/>
          <w:szCs w:val="24"/>
        </w:rPr>
        <w:t>:  The provisions of t</w:t>
      </w:r>
      <w:r>
        <w:rPr>
          <w:sz w:val="24"/>
          <w:szCs w:val="24"/>
        </w:rPr>
        <w:t xml:space="preserve">he Federal Plan implementing the 2016 Emission Guidelines and Compliance Times for Existing Municipal Solid Waste Landfills (i.e., 40 CFR 60 Subpart Cf) was finalized on May 10, 2021. Since MDEQ does not have an approved State Plan, the Federal Plan found in 40 CFR Part 62 – Subpart OOO is in effect and strictly enforced by EPA Region 4. </w:t>
      </w:r>
    </w:p>
    <w:p w14:paraId="325067AE" w14:textId="77777777" w:rsidR="00E01977" w:rsidRDefault="00E01977" w:rsidP="00E01977">
      <w:pPr>
        <w:jc w:val="both"/>
        <w:rPr>
          <w:color w:val="000000"/>
          <w:sz w:val="24"/>
          <w:szCs w:val="24"/>
        </w:rPr>
      </w:pPr>
    </w:p>
    <w:p w14:paraId="185ADE84" w14:textId="64CD5450" w:rsidR="00AB6090" w:rsidRDefault="00E01977" w:rsidP="00104CE2">
      <w:pPr>
        <w:jc w:val="both"/>
        <w:rPr>
          <w:bCs/>
          <w:iCs/>
          <w:color w:val="000000"/>
          <w:sz w:val="24"/>
          <w:szCs w:val="24"/>
        </w:rPr>
      </w:pPr>
      <w:r>
        <w:rPr>
          <w:bCs/>
          <w:iCs/>
          <w:color w:val="000000"/>
          <w:sz w:val="24"/>
          <w:szCs w:val="24"/>
        </w:rPr>
        <w:t xml:space="preserve">As </w:t>
      </w:r>
      <w:r w:rsidRPr="00E01977">
        <w:rPr>
          <w:bCs/>
          <w:iCs/>
          <w:color w:val="000000"/>
          <w:sz w:val="24"/>
          <w:szCs w:val="24"/>
        </w:rPr>
        <w:t xml:space="preserve">Greenway has stated construction of the proposed “expansion” will commence upon issuance of this renewed TVOP (along with the renewed solid waste permit).  As construction of the denoted expansion will be considered a “modification” (as defined by 40 CFR Part 60, Subpart XXX), Greenway </w:t>
      </w:r>
      <w:r w:rsidR="005357BA">
        <w:rPr>
          <w:bCs/>
          <w:iCs/>
          <w:color w:val="000000"/>
          <w:sz w:val="24"/>
          <w:szCs w:val="24"/>
        </w:rPr>
        <w:t>will</w:t>
      </w:r>
      <w:r w:rsidRPr="00E01977">
        <w:rPr>
          <w:bCs/>
          <w:iCs/>
          <w:color w:val="000000"/>
          <w:sz w:val="24"/>
          <w:szCs w:val="24"/>
        </w:rPr>
        <w:t xml:space="preserve"> not be </w:t>
      </w:r>
      <w:r w:rsidR="005357BA">
        <w:rPr>
          <w:bCs/>
          <w:iCs/>
          <w:color w:val="000000"/>
          <w:sz w:val="24"/>
          <w:szCs w:val="24"/>
        </w:rPr>
        <w:t>subject to the Federal Plan given the non-applicability to Subpart Cf.</w:t>
      </w:r>
    </w:p>
    <w:p w14:paraId="438E76A6" w14:textId="77777777" w:rsidR="00E01977" w:rsidRDefault="00E01977" w:rsidP="00104CE2">
      <w:pPr>
        <w:jc w:val="both"/>
        <w:rPr>
          <w:sz w:val="24"/>
          <w:szCs w:val="24"/>
          <w:u w:val="single"/>
        </w:rPr>
      </w:pPr>
    </w:p>
    <w:p w14:paraId="71173F06" w14:textId="77777777" w:rsidR="00531513" w:rsidRDefault="00531513" w:rsidP="00104CE2">
      <w:pPr>
        <w:jc w:val="both"/>
        <w:rPr>
          <w:sz w:val="24"/>
          <w:szCs w:val="24"/>
          <w:u w:val="single"/>
        </w:rPr>
      </w:pPr>
      <w:r>
        <w:rPr>
          <w:sz w:val="24"/>
          <w:szCs w:val="24"/>
          <w:u w:val="single"/>
        </w:rPr>
        <w:t>SPECIFIC APPLICABLE REQUIREMENTS</w:t>
      </w:r>
    </w:p>
    <w:p w14:paraId="72636520" w14:textId="77777777" w:rsidR="00531513" w:rsidRDefault="00531513" w:rsidP="00531513">
      <w:pPr>
        <w:rPr>
          <w:sz w:val="24"/>
          <w:szCs w:val="24"/>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989"/>
        <w:gridCol w:w="1081"/>
        <w:gridCol w:w="1890"/>
        <w:gridCol w:w="5400"/>
      </w:tblGrid>
      <w:tr w:rsidR="00531513" w14:paraId="32BCF10A" w14:textId="77777777" w:rsidTr="005357BA">
        <w:trPr>
          <w:cantSplit/>
          <w:trHeight w:val="632"/>
          <w:tblHeader/>
          <w:jc w:val="center"/>
        </w:trPr>
        <w:tc>
          <w:tcPr>
            <w:tcW w:w="989" w:type="dxa"/>
            <w:tcBorders>
              <w:top w:val="double" w:sz="4" w:space="0" w:color="auto"/>
            </w:tcBorders>
            <w:shd w:val="pct20" w:color="auto" w:fill="FFFFFF"/>
            <w:vAlign w:val="center"/>
          </w:tcPr>
          <w:p w14:paraId="6A2B72B6" w14:textId="77777777" w:rsidR="00531513" w:rsidRPr="005357BA" w:rsidRDefault="00531513" w:rsidP="008A385B">
            <w:pPr>
              <w:spacing w:before="60" w:after="60"/>
              <w:jc w:val="center"/>
              <w:rPr>
                <w:b/>
                <w:bCs/>
              </w:rPr>
            </w:pPr>
            <w:r w:rsidRPr="005357BA">
              <w:rPr>
                <w:b/>
                <w:bCs/>
              </w:rPr>
              <w:t>Emission Point No.</w:t>
            </w:r>
          </w:p>
        </w:tc>
        <w:tc>
          <w:tcPr>
            <w:tcW w:w="1081" w:type="dxa"/>
            <w:tcBorders>
              <w:top w:val="double" w:sz="4" w:space="0" w:color="auto"/>
            </w:tcBorders>
            <w:shd w:val="pct20" w:color="auto" w:fill="FFFFFF"/>
            <w:vAlign w:val="center"/>
          </w:tcPr>
          <w:p w14:paraId="1FDC9426" w14:textId="77777777" w:rsidR="00531513" w:rsidRPr="005357BA" w:rsidRDefault="00531513" w:rsidP="008A385B">
            <w:pPr>
              <w:spacing w:before="60" w:after="60"/>
              <w:jc w:val="center"/>
              <w:rPr>
                <w:b/>
                <w:bCs/>
              </w:rPr>
            </w:pPr>
            <w:r w:rsidRPr="005357BA">
              <w:rPr>
                <w:b/>
                <w:bCs/>
              </w:rPr>
              <w:t>Pollutant</w:t>
            </w:r>
          </w:p>
        </w:tc>
        <w:tc>
          <w:tcPr>
            <w:tcW w:w="1890" w:type="dxa"/>
            <w:tcBorders>
              <w:top w:val="double" w:sz="4" w:space="0" w:color="auto"/>
            </w:tcBorders>
            <w:shd w:val="pct20" w:color="auto" w:fill="FFFFFF"/>
            <w:vAlign w:val="center"/>
          </w:tcPr>
          <w:p w14:paraId="6C2C3C16" w14:textId="77777777" w:rsidR="00531513" w:rsidRPr="005357BA" w:rsidRDefault="00531513" w:rsidP="008A385B">
            <w:pPr>
              <w:spacing w:before="60" w:after="60"/>
              <w:jc w:val="center"/>
              <w:rPr>
                <w:b/>
                <w:bCs/>
              </w:rPr>
            </w:pPr>
            <w:r w:rsidRPr="005357BA">
              <w:rPr>
                <w:b/>
                <w:bCs/>
              </w:rPr>
              <w:t>Draft Permit Emission Limits</w:t>
            </w:r>
          </w:p>
        </w:tc>
        <w:tc>
          <w:tcPr>
            <w:tcW w:w="5400" w:type="dxa"/>
            <w:tcBorders>
              <w:top w:val="double" w:sz="4" w:space="0" w:color="auto"/>
            </w:tcBorders>
            <w:shd w:val="pct20" w:color="auto" w:fill="FFFFFF"/>
            <w:vAlign w:val="center"/>
          </w:tcPr>
          <w:p w14:paraId="780A005D" w14:textId="77777777" w:rsidR="00531513" w:rsidRPr="005357BA" w:rsidRDefault="00531513" w:rsidP="008A385B">
            <w:pPr>
              <w:spacing w:before="60" w:after="60"/>
              <w:jc w:val="center"/>
              <w:rPr>
                <w:b/>
                <w:bCs/>
              </w:rPr>
            </w:pPr>
            <w:r w:rsidRPr="005357BA">
              <w:rPr>
                <w:b/>
                <w:bCs/>
              </w:rPr>
              <w:t>Monitoring Requirements</w:t>
            </w:r>
          </w:p>
        </w:tc>
      </w:tr>
      <w:tr w:rsidR="00531513" w14:paraId="6DB26E49" w14:textId="77777777" w:rsidTr="005357BA">
        <w:trPr>
          <w:cantSplit/>
          <w:trHeight w:val="632"/>
          <w:jc w:val="center"/>
        </w:trPr>
        <w:tc>
          <w:tcPr>
            <w:tcW w:w="989" w:type="dxa"/>
            <w:vAlign w:val="center"/>
          </w:tcPr>
          <w:p w14:paraId="1577CCD9" w14:textId="5872FCF3" w:rsidR="00531513" w:rsidRPr="005357BA" w:rsidRDefault="005357BA" w:rsidP="005357BA">
            <w:pPr>
              <w:spacing w:before="60" w:after="60"/>
              <w:jc w:val="center"/>
            </w:pPr>
            <w:r>
              <w:t>AA-001</w:t>
            </w:r>
          </w:p>
        </w:tc>
        <w:tc>
          <w:tcPr>
            <w:tcW w:w="1081" w:type="dxa"/>
            <w:vAlign w:val="center"/>
          </w:tcPr>
          <w:p w14:paraId="2FFA6DDC" w14:textId="724E72AD" w:rsidR="00531513" w:rsidRPr="005357BA" w:rsidRDefault="005357BA" w:rsidP="005357BA">
            <w:pPr>
              <w:spacing w:before="60" w:after="60"/>
              <w:jc w:val="center"/>
            </w:pPr>
            <w:r>
              <w:t>NMOCs</w:t>
            </w:r>
          </w:p>
        </w:tc>
        <w:tc>
          <w:tcPr>
            <w:tcW w:w="1890" w:type="dxa"/>
            <w:vAlign w:val="center"/>
          </w:tcPr>
          <w:p w14:paraId="699CE41F" w14:textId="77777777" w:rsidR="00531513" w:rsidRDefault="005357BA" w:rsidP="005357BA">
            <w:pPr>
              <w:spacing w:before="60" w:after="60"/>
              <w:jc w:val="center"/>
            </w:pPr>
            <w:r>
              <w:t>34 Mg / Year</w:t>
            </w:r>
          </w:p>
          <w:p w14:paraId="35556046" w14:textId="045ED5D8" w:rsidR="005357BA" w:rsidRPr="005357BA" w:rsidRDefault="005357BA" w:rsidP="005357BA">
            <w:pPr>
              <w:spacing w:before="60" w:after="60"/>
              <w:jc w:val="center"/>
            </w:pPr>
            <w:r>
              <w:t>(threshold for GCCS)</w:t>
            </w:r>
          </w:p>
        </w:tc>
        <w:tc>
          <w:tcPr>
            <w:tcW w:w="5400" w:type="dxa"/>
            <w:vAlign w:val="center"/>
          </w:tcPr>
          <w:p w14:paraId="275B1E9E" w14:textId="01E22CCA" w:rsidR="00531513" w:rsidRPr="005357BA" w:rsidRDefault="005357BA" w:rsidP="005357BA">
            <w:pPr>
              <w:spacing w:before="60" w:after="60"/>
              <w:jc w:val="center"/>
            </w:pPr>
            <w:r>
              <w:t>Calculate emissions in accordance with the applicable “Tier” on either an annual basis or on a 5-year estimation.</w:t>
            </w:r>
          </w:p>
        </w:tc>
      </w:tr>
    </w:tbl>
    <w:p w14:paraId="2698795B" w14:textId="77777777" w:rsidR="00531513" w:rsidRDefault="00531513" w:rsidP="00531513">
      <w:pPr>
        <w:rPr>
          <w:sz w:val="24"/>
          <w:szCs w:val="24"/>
        </w:rPr>
      </w:pPr>
    </w:p>
    <w:p w14:paraId="42746C5A" w14:textId="77777777" w:rsidR="00531513" w:rsidRDefault="00531513" w:rsidP="00104CE2">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both"/>
        <w:rPr>
          <w:sz w:val="24"/>
          <w:szCs w:val="24"/>
          <w:u w:val="single"/>
        </w:rPr>
      </w:pPr>
      <w:r w:rsidRPr="0048090B">
        <w:rPr>
          <w:sz w:val="24"/>
          <w:szCs w:val="24"/>
          <w:u w:val="single"/>
        </w:rPr>
        <w:t xml:space="preserve">OTHER </w:t>
      </w:r>
      <w:r w:rsidR="0048090B" w:rsidRPr="0048090B">
        <w:rPr>
          <w:sz w:val="24"/>
          <w:szCs w:val="24"/>
          <w:u w:val="single"/>
        </w:rPr>
        <w:t>REQUIREMENTS</w:t>
      </w:r>
      <w:r w:rsidRPr="0048090B">
        <w:rPr>
          <w:sz w:val="24"/>
          <w:szCs w:val="24"/>
          <w:u w:val="single"/>
        </w:rPr>
        <w:t>:</w:t>
      </w:r>
    </w:p>
    <w:p w14:paraId="076D9FCD" w14:textId="5AFB1D72" w:rsidR="0048090B" w:rsidRPr="005357BA" w:rsidRDefault="005357BA" w:rsidP="00104CE2">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both"/>
        <w:rPr>
          <w:sz w:val="24"/>
          <w:szCs w:val="24"/>
        </w:rPr>
      </w:pPr>
      <w:r w:rsidRPr="005357BA">
        <w:rPr>
          <w:sz w:val="24"/>
          <w:szCs w:val="24"/>
        </w:rPr>
        <w:t>N/A</w:t>
      </w:r>
    </w:p>
    <w:p w14:paraId="13982C8E" w14:textId="77777777" w:rsidR="00BA3BCF" w:rsidRDefault="00BA3BCF" w:rsidP="00104CE2">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both"/>
        <w:rPr>
          <w:sz w:val="24"/>
          <w:szCs w:val="24"/>
        </w:rPr>
      </w:pPr>
    </w:p>
    <w:p w14:paraId="4FF1F616" w14:textId="77777777" w:rsidR="00BA3BCF" w:rsidRPr="00BA3BCF" w:rsidRDefault="00BA3BCF" w:rsidP="00BA3BCF">
      <w:pPr>
        <w:tabs>
          <w:tab w:val="left" w:pos="-1123"/>
          <w:tab w:val="left" w:pos="-720"/>
          <w:tab w:val="left" w:pos="0"/>
          <w:tab w:val="left" w:pos="720"/>
          <w:tab w:val="left" w:pos="1440"/>
          <w:tab w:val="left" w:pos="2160"/>
          <w:tab w:val="left" w:pos="2880"/>
          <w:tab w:val="left" w:pos="3600"/>
          <w:tab w:val="left" w:pos="4320"/>
          <w:tab w:val="left" w:pos="5040"/>
          <w:tab w:val="left" w:pos="5760"/>
          <w:tab w:val="left" w:pos="6480"/>
          <w:tab w:val="left" w:pos="7110"/>
          <w:tab w:val="left" w:pos="8010"/>
          <w:tab w:val="left" w:pos="8640"/>
          <w:tab w:val="left" w:pos="9360"/>
          <w:tab w:val="left" w:pos="10080"/>
          <w:tab w:val="left" w:pos="10800"/>
          <w:tab w:val="left" w:pos="11520"/>
        </w:tabs>
        <w:jc w:val="both"/>
        <w:rPr>
          <w:sz w:val="32"/>
          <w:szCs w:val="24"/>
        </w:rPr>
      </w:pPr>
    </w:p>
    <w:sectPr w:rsidR="00BA3BCF" w:rsidRPr="00BA3BCF" w:rsidSect="00421490">
      <w:headerReference w:type="default" r:id="rId7"/>
      <w:footerReference w:type="default" r:id="rId8"/>
      <w:pgSz w:w="12240" w:h="15840" w:code="1"/>
      <w:pgMar w:top="1440" w:right="1440" w:bottom="1440" w:left="1440" w:header="432"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E6592" w14:textId="77777777" w:rsidR="00505D97" w:rsidRDefault="00505D97">
      <w:r>
        <w:separator/>
      </w:r>
    </w:p>
  </w:endnote>
  <w:endnote w:type="continuationSeparator" w:id="0">
    <w:p w14:paraId="46FC1172" w14:textId="77777777" w:rsidR="00505D97" w:rsidRDefault="00505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altName w:val=" Verdan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001A2" w14:textId="77777777" w:rsidR="005E1C12" w:rsidRPr="005357BA" w:rsidRDefault="005E1C12">
    <w:pPr>
      <w:pStyle w:val="Footer"/>
      <w:tabs>
        <w:tab w:val="clear" w:pos="8640"/>
        <w:tab w:val="right" w:pos="9270"/>
      </w:tabs>
    </w:pPr>
    <w:bookmarkStart w:id="1" w:name="aiid"/>
    <w:r w:rsidRPr="005357BA">
      <w:t>10186</w:t>
    </w:r>
    <w:bookmarkEnd w:id="1"/>
    <w:r w:rsidRPr="005357BA">
      <w:t xml:space="preserve"> PER20160001</w:t>
    </w:r>
    <w:r w:rsidRPr="005357BA">
      <w:tab/>
    </w:r>
    <w:r w:rsidRPr="005357BA">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CE36A" w14:textId="77777777" w:rsidR="00505D97" w:rsidRDefault="00505D97">
      <w:r>
        <w:separator/>
      </w:r>
    </w:p>
  </w:footnote>
  <w:footnote w:type="continuationSeparator" w:id="0">
    <w:p w14:paraId="64AC0402" w14:textId="77777777" w:rsidR="00505D97" w:rsidRDefault="00505D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0B55C" w14:textId="77777777" w:rsidR="00BC4760" w:rsidRPr="00BC4760" w:rsidRDefault="00BC4760">
    <w:pPr>
      <w:pStyle w:val="Header"/>
      <w:jc w:val="right"/>
      <w:rPr>
        <w:sz w:val="24"/>
        <w:szCs w:val="24"/>
      </w:rPr>
    </w:pPr>
    <w:r w:rsidRPr="00BC4760">
      <w:rPr>
        <w:sz w:val="24"/>
        <w:szCs w:val="24"/>
      </w:rPr>
      <w:t>Information Relative to the Title V Permit</w:t>
    </w:r>
  </w:p>
  <w:p w14:paraId="588A677B" w14:textId="77777777" w:rsidR="00BC4760" w:rsidRDefault="00BC4760">
    <w:pPr>
      <w:pStyle w:val="Header"/>
      <w:jc w:val="right"/>
    </w:pPr>
    <w:r w:rsidRPr="00BC4760">
      <w:rPr>
        <w:sz w:val="24"/>
        <w:szCs w:val="24"/>
      </w:rPr>
      <w:t xml:space="preserve">Page </w:t>
    </w:r>
    <w:r w:rsidRPr="00BC4760">
      <w:rPr>
        <w:bCs/>
        <w:sz w:val="24"/>
        <w:szCs w:val="24"/>
      </w:rPr>
      <w:fldChar w:fldCharType="begin"/>
    </w:r>
    <w:r w:rsidRPr="00BC4760">
      <w:rPr>
        <w:bCs/>
        <w:sz w:val="24"/>
        <w:szCs w:val="24"/>
      </w:rPr>
      <w:instrText xml:space="preserve"> PAGE </w:instrText>
    </w:r>
    <w:r w:rsidRPr="00BC4760">
      <w:rPr>
        <w:bCs/>
        <w:sz w:val="24"/>
        <w:szCs w:val="24"/>
      </w:rPr>
      <w:fldChar w:fldCharType="separate"/>
    </w:r>
    <w:r w:rsidR="008A385B">
      <w:rPr>
        <w:bCs/>
        <w:noProof/>
        <w:sz w:val="24"/>
        <w:szCs w:val="24"/>
      </w:rPr>
      <w:t>4</w:t>
    </w:r>
    <w:r w:rsidRPr="00BC4760">
      <w:rPr>
        <w:bCs/>
        <w:sz w:val="24"/>
        <w:szCs w:val="24"/>
      </w:rPr>
      <w:fldChar w:fldCharType="end"/>
    </w:r>
    <w:r w:rsidRPr="00BC4760">
      <w:rPr>
        <w:sz w:val="24"/>
        <w:szCs w:val="24"/>
      </w:rPr>
      <w:t xml:space="preserve"> of </w:t>
    </w:r>
    <w:r w:rsidRPr="00BC4760">
      <w:rPr>
        <w:bCs/>
        <w:sz w:val="24"/>
        <w:szCs w:val="24"/>
      </w:rPr>
      <w:fldChar w:fldCharType="begin"/>
    </w:r>
    <w:r w:rsidRPr="00BC4760">
      <w:rPr>
        <w:bCs/>
        <w:sz w:val="24"/>
        <w:szCs w:val="24"/>
      </w:rPr>
      <w:instrText xml:space="preserve"> NUMPAGES  </w:instrText>
    </w:r>
    <w:r w:rsidRPr="00BC4760">
      <w:rPr>
        <w:bCs/>
        <w:sz w:val="24"/>
        <w:szCs w:val="24"/>
      </w:rPr>
      <w:fldChar w:fldCharType="separate"/>
    </w:r>
    <w:r w:rsidR="008A385B">
      <w:rPr>
        <w:bCs/>
        <w:noProof/>
        <w:sz w:val="24"/>
        <w:szCs w:val="24"/>
      </w:rPr>
      <w:t>4</w:t>
    </w:r>
    <w:r w:rsidRPr="00BC4760">
      <w:rPr>
        <w:bCs/>
        <w:sz w:val="24"/>
        <w:szCs w:val="24"/>
      </w:rPr>
      <w:fldChar w:fldCharType="end"/>
    </w:r>
  </w:p>
  <w:p w14:paraId="50B0CA73" w14:textId="77777777" w:rsidR="00BC4760" w:rsidRDefault="00BC4760" w:rsidP="00BC476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0606BC"/>
    <w:multiLevelType w:val="hybridMultilevel"/>
    <w:tmpl w:val="FFFFFFFF"/>
    <w:lvl w:ilvl="0" w:tplc="607014B0">
      <w:start w:val="1"/>
      <w:numFmt w:val="decimal"/>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35233DCD"/>
    <w:multiLevelType w:val="hybridMultilevel"/>
    <w:tmpl w:val="26584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DF40CE"/>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7F484A30"/>
    <w:multiLevelType w:val="hybridMultilevel"/>
    <w:tmpl w:val="0F56B42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111093493">
    <w:abstractNumId w:val="2"/>
  </w:num>
  <w:num w:numId="2" w16cid:durableId="1000890558">
    <w:abstractNumId w:val="0"/>
  </w:num>
  <w:num w:numId="3" w16cid:durableId="2128892277">
    <w:abstractNumId w:val="1"/>
  </w:num>
  <w:num w:numId="4" w16cid:durableId="17658791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A1E5D"/>
    <w:rsid w:val="00030726"/>
    <w:rsid w:val="000417AE"/>
    <w:rsid w:val="0005117D"/>
    <w:rsid w:val="00061B42"/>
    <w:rsid w:val="00083009"/>
    <w:rsid w:val="000C10C1"/>
    <w:rsid w:val="00104CE2"/>
    <w:rsid w:val="00116779"/>
    <w:rsid w:val="0011723C"/>
    <w:rsid w:val="00141F9A"/>
    <w:rsid w:val="00142084"/>
    <w:rsid w:val="00151AE0"/>
    <w:rsid w:val="00161C17"/>
    <w:rsid w:val="001658CB"/>
    <w:rsid w:val="0018210B"/>
    <w:rsid w:val="001B570E"/>
    <w:rsid w:val="002109C2"/>
    <w:rsid w:val="002177C8"/>
    <w:rsid w:val="0025327D"/>
    <w:rsid w:val="00272DF9"/>
    <w:rsid w:val="00280FAA"/>
    <w:rsid w:val="002A62E3"/>
    <w:rsid w:val="002A71C6"/>
    <w:rsid w:val="002A7208"/>
    <w:rsid w:val="002B0570"/>
    <w:rsid w:val="002B46DA"/>
    <w:rsid w:val="002D58EE"/>
    <w:rsid w:val="003569E6"/>
    <w:rsid w:val="003A4126"/>
    <w:rsid w:val="003B41AC"/>
    <w:rsid w:val="003C2807"/>
    <w:rsid w:val="003E1CD8"/>
    <w:rsid w:val="003F7CF6"/>
    <w:rsid w:val="00421490"/>
    <w:rsid w:val="00423D3C"/>
    <w:rsid w:val="00430F3D"/>
    <w:rsid w:val="00434A63"/>
    <w:rsid w:val="00461018"/>
    <w:rsid w:val="00471345"/>
    <w:rsid w:val="004755B9"/>
    <w:rsid w:val="0048090B"/>
    <w:rsid w:val="00490103"/>
    <w:rsid w:val="0049771A"/>
    <w:rsid w:val="004D180B"/>
    <w:rsid w:val="00502BDC"/>
    <w:rsid w:val="00505D97"/>
    <w:rsid w:val="00531513"/>
    <w:rsid w:val="00533EFC"/>
    <w:rsid w:val="005357BA"/>
    <w:rsid w:val="0056306C"/>
    <w:rsid w:val="00573932"/>
    <w:rsid w:val="0057731E"/>
    <w:rsid w:val="00577CB8"/>
    <w:rsid w:val="00585EE9"/>
    <w:rsid w:val="00595509"/>
    <w:rsid w:val="005C46A6"/>
    <w:rsid w:val="005D0C80"/>
    <w:rsid w:val="005D7E4C"/>
    <w:rsid w:val="005E1C12"/>
    <w:rsid w:val="005F16A1"/>
    <w:rsid w:val="005F6106"/>
    <w:rsid w:val="006111A1"/>
    <w:rsid w:val="006413A7"/>
    <w:rsid w:val="006573BD"/>
    <w:rsid w:val="00665743"/>
    <w:rsid w:val="00681AD1"/>
    <w:rsid w:val="0069240F"/>
    <w:rsid w:val="006A2FCD"/>
    <w:rsid w:val="006A52EB"/>
    <w:rsid w:val="006D4AA1"/>
    <w:rsid w:val="006E74C7"/>
    <w:rsid w:val="006F0510"/>
    <w:rsid w:val="0072616E"/>
    <w:rsid w:val="0076636C"/>
    <w:rsid w:val="007B7D2B"/>
    <w:rsid w:val="007C1397"/>
    <w:rsid w:val="007D59A6"/>
    <w:rsid w:val="007E6D99"/>
    <w:rsid w:val="007F0FA3"/>
    <w:rsid w:val="00834C6B"/>
    <w:rsid w:val="00852478"/>
    <w:rsid w:val="0086140E"/>
    <w:rsid w:val="008751D1"/>
    <w:rsid w:val="0089117D"/>
    <w:rsid w:val="008A1F39"/>
    <w:rsid w:val="008A385B"/>
    <w:rsid w:val="00900E96"/>
    <w:rsid w:val="00913A3B"/>
    <w:rsid w:val="00934A58"/>
    <w:rsid w:val="00941800"/>
    <w:rsid w:val="00951761"/>
    <w:rsid w:val="00967BC9"/>
    <w:rsid w:val="009733EB"/>
    <w:rsid w:val="00984B3A"/>
    <w:rsid w:val="00991620"/>
    <w:rsid w:val="00992374"/>
    <w:rsid w:val="009A1105"/>
    <w:rsid w:val="009A1E5D"/>
    <w:rsid w:val="009E3C18"/>
    <w:rsid w:val="00A03FF7"/>
    <w:rsid w:val="00A219FF"/>
    <w:rsid w:val="00A31F25"/>
    <w:rsid w:val="00A35286"/>
    <w:rsid w:val="00A5283F"/>
    <w:rsid w:val="00A97B05"/>
    <w:rsid w:val="00AA0887"/>
    <w:rsid w:val="00AB6090"/>
    <w:rsid w:val="00AD358F"/>
    <w:rsid w:val="00AD7559"/>
    <w:rsid w:val="00AE4F70"/>
    <w:rsid w:val="00B1364F"/>
    <w:rsid w:val="00B14B3F"/>
    <w:rsid w:val="00B14D72"/>
    <w:rsid w:val="00B6185C"/>
    <w:rsid w:val="00BA35A4"/>
    <w:rsid w:val="00BA3BCF"/>
    <w:rsid w:val="00BC4760"/>
    <w:rsid w:val="00BF16FD"/>
    <w:rsid w:val="00C03B43"/>
    <w:rsid w:val="00C159FA"/>
    <w:rsid w:val="00C50599"/>
    <w:rsid w:val="00C53F3A"/>
    <w:rsid w:val="00C55969"/>
    <w:rsid w:val="00C72133"/>
    <w:rsid w:val="00CB077D"/>
    <w:rsid w:val="00CB37B4"/>
    <w:rsid w:val="00CC0220"/>
    <w:rsid w:val="00CC1957"/>
    <w:rsid w:val="00CC5DA2"/>
    <w:rsid w:val="00CD3A0B"/>
    <w:rsid w:val="00D0538F"/>
    <w:rsid w:val="00D543AF"/>
    <w:rsid w:val="00D62E13"/>
    <w:rsid w:val="00D65A62"/>
    <w:rsid w:val="00D7182F"/>
    <w:rsid w:val="00D90F67"/>
    <w:rsid w:val="00DB0CA5"/>
    <w:rsid w:val="00DD1B8E"/>
    <w:rsid w:val="00DD5DF1"/>
    <w:rsid w:val="00DE5546"/>
    <w:rsid w:val="00DE72B9"/>
    <w:rsid w:val="00DF31AD"/>
    <w:rsid w:val="00E01977"/>
    <w:rsid w:val="00E03D2E"/>
    <w:rsid w:val="00E1720A"/>
    <w:rsid w:val="00E21AC2"/>
    <w:rsid w:val="00E302DE"/>
    <w:rsid w:val="00E32C65"/>
    <w:rsid w:val="00E60EA3"/>
    <w:rsid w:val="00E73A5A"/>
    <w:rsid w:val="00E741CE"/>
    <w:rsid w:val="00E76429"/>
    <w:rsid w:val="00E77C66"/>
    <w:rsid w:val="00E96C17"/>
    <w:rsid w:val="00EA083E"/>
    <w:rsid w:val="00EA6AF2"/>
    <w:rsid w:val="00ED2C87"/>
    <w:rsid w:val="00ED6D14"/>
    <w:rsid w:val="00F13398"/>
    <w:rsid w:val="00F2153D"/>
    <w:rsid w:val="00F83CBF"/>
    <w:rsid w:val="00FB6567"/>
    <w:rsid w:val="00FC0485"/>
    <w:rsid w:val="00FD31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5D1F98"/>
  <w14:defaultImageDpi w14:val="0"/>
  <w15:docId w15:val="{254BBFB6-FB61-4991-A9F4-BCC9B5C9E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2">
    <w:name w:val="heading 2"/>
    <w:basedOn w:val="Normal"/>
    <w:next w:val="Normal"/>
    <w:link w:val="Heading2Char"/>
    <w:uiPriority w:val="99"/>
    <w:qFormat/>
    <w:pPr>
      <w:keepNext/>
      <w:widowControl w:val="0"/>
      <w:tabs>
        <w:tab w:val="left" w:pos="90"/>
      </w:tabs>
      <w:outlineLvl w:val="1"/>
    </w:pPr>
    <w:rPr>
      <w:color w:val="000000"/>
      <w:sz w:val="24"/>
      <w:szCs w:val="24"/>
    </w:rPr>
  </w:style>
  <w:style w:type="paragraph" w:styleId="Heading3">
    <w:name w:val="heading 3"/>
    <w:basedOn w:val="Normal"/>
    <w:next w:val="Normal"/>
    <w:link w:val="Heading3Char"/>
    <w:uiPriority w:val="99"/>
    <w:qFormat/>
    <w:pPr>
      <w:keepNext/>
      <w:widowControl w:val="0"/>
      <w:tabs>
        <w:tab w:val="left" w:pos="4860"/>
      </w:tabs>
      <w:spacing w:after="240"/>
      <w:ind w:left="4867"/>
      <w:outlineLvl w:val="2"/>
    </w:pPr>
    <w:rPr>
      <w:color w:val="000000"/>
      <w:sz w:val="24"/>
      <w:szCs w:val="24"/>
    </w:rPr>
  </w:style>
  <w:style w:type="paragraph" w:styleId="Heading4">
    <w:name w:val="heading 4"/>
    <w:basedOn w:val="Normal"/>
    <w:next w:val="Normal"/>
    <w:link w:val="Heading4Char"/>
    <w:uiPriority w:val="99"/>
    <w:qFormat/>
    <w:pPr>
      <w:keepNext/>
      <w:tabs>
        <w:tab w:val="left" w:pos="4320"/>
      </w:tabs>
      <w:ind w:left="4320" w:hanging="461"/>
      <w:outlineLvl w:val="3"/>
    </w:pPr>
    <w:rPr>
      <w:sz w:val="24"/>
      <w:szCs w:val="24"/>
    </w:rPr>
  </w:style>
  <w:style w:type="paragraph" w:styleId="Heading5">
    <w:name w:val="heading 5"/>
    <w:basedOn w:val="Normal"/>
    <w:next w:val="Normal"/>
    <w:link w:val="Heading5Char"/>
    <w:uiPriority w:val="99"/>
    <w:qFormat/>
    <w:pPr>
      <w:keepNext/>
      <w:jc w:val="center"/>
      <w:outlineLvl w:val="4"/>
    </w:pPr>
    <w:rPr>
      <w:rFonts w:ascii="Arial" w:hAnsi="Arial" w:cs="Arial"/>
      <w:b/>
      <w:bCs/>
      <w:color w:val="FFFFFF"/>
    </w:rPr>
  </w:style>
  <w:style w:type="paragraph" w:styleId="Heading6">
    <w:name w:val="heading 6"/>
    <w:basedOn w:val="Normal"/>
    <w:next w:val="Normal"/>
    <w:link w:val="Heading6Char"/>
    <w:uiPriority w:val="99"/>
    <w:qFormat/>
    <w:pPr>
      <w:keepNext/>
      <w:tabs>
        <w:tab w:val="left" w:pos="4320"/>
        <w:tab w:val="left" w:pos="4860"/>
        <w:tab w:val="left" w:pos="5220"/>
      </w:tabs>
      <w:ind w:left="3600"/>
      <w:outlineLvl w:val="5"/>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paragraph" w:styleId="Heading8">
    <w:name w:val="heading 8"/>
    <w:basedOn w:val="Normal"/>
    <w:next w:val="Normal"/>
    <w:link w:val="Heading8Char"/>
    <w:uiPriority w:val="99"/>
    <w:qFormat/>
    <w:pPr>
      <w:keepNext/>
      <w:tabs>
        <w:tab w:val="left" w:pos="90"/>
      </w:tabs>
      <w:jc w:val="center"/>
      <w:outlineLvl w:val="7"/>
    </w:pPr>
    <w:rPr>
      <w:b/>
      <w:bCs/>
      <w:sz w:val="24"/>
      <w:szCs w:val="24"/>
      <w:u w:val="single"/>
    </w:rPr>
  </w:style>
  <w:style w:type="paragraph" w:styleId="Heading9">
    <w:name w:val="heading 9"/>
    <w:basedOn w:val="Normal"/>
    <w:next w:val="Normal"/>
    <w:link w:val="Heading9Char"/>
    <w:uiPriority w:val="99"/>
    <w:qFormat/>
    <w:pPr>
      <w:keepNext/>
      <w:tabs>
        <w:tab w:val="left" w:pos="90"/>
      </w:tabs>
      <w:outlineLvl w:val="8"/>
    </w:pPr>
    <w:rPr>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mbria" w:eastAsia="Times New Roman" w:hAnsi="Cambria" w:cs="Times New Roman"/>
      <w:b/>
      <w:bCs/>
      <w:kern w:val="32"/>
      <w:sz w:val="32"/>
      <w:szCs w:val="32"/>
    </w:rPr>
  </w:style>
  <w:style w:type="character" w:customStyle="1" w:styleId="Heading2Char">
    <w:name w:val="Heading 2 Char"/>
    <w:link w:val="Heading2"/>
    <w:uiPriority w:val="9"/>
    <w:semiHidden/>
    <w:locked/>
    <w:rPr>
      <w:rFonts w:ascii="Cambria" w:eastAsia="Times New Roman" w:hAnsi="Cambria" w:cs="Times New Roman"/>
      <w:b/>
      <w:bCs/>
      <w:i/>
      <w:iCs/>
      <w:sz w:val="28"/>
      <w:szCs w:val="28"/>
    </w:rPr>
  </w:style>
  <w:style w:type="character" w:customStyle="1" w:styleId="Heading3Char">
    <w:name w:val="Heading 3 Char"/>
    <w:link w:val="Heading3"/>
    <w:uiPriority w:val="9"/>
    <w:semiHidden/>
    <w:locked/>
    <w:rPr>
      <w:rFonts w:ascii="Cambria" w:eastAsia="Times New Roman" w:hAnsi="Cambria" w:cs="Times New Roman"/>
      <w:b/>
      <w:bCs/>
      <w:sz w:val="26"/>
      <w:szCs w:val="26"/>
    </w:rPr>
  </w:style>
  <w:style w:type="character" w:customStyle="1" w:styleId="Heading4Char">
    <w:name w:val="Heading 4 Char"/>
    <w:link w:val="Heading4"/>
    <w:uiPriority w:val="9"/>
    <w:semiHidden/>
    <w:locked/>
    <w:rPr>
      <w:rFonts w:ascii="Calibri" w:eastAsia="Times New Roman" w:hAnsi="Calibri" w:cs="Times New Roman"/>
      <w:b/>
      <w:bCs/>
      <w:sz w:val="28"/>
      <w:szCs w:val="28"/>
    </w:rPr>
  </w:style>
  <w:style w:type="character" w:customStyle="1" w:styleId="Heading5Char">
    <w:name w:val="Heading 5 Char"/>
    <w:link w:val="Heading5"/>
    <w:uiPriority w:val="9"/>
    <w:semiHidden/>
    <w:locked/>
    <w:rPr>
      <w:rFonts w:ascii="Calibri" w:eastAsia="Times New Roman" w:hAnsi="Calibri" w:cs="Times New Roman"/>
      <w:b/>
      <w:bCs/>
      <w:i/>
      <w:iCs/>
      <w:sz w:val="26"/>
      <w:szCs w:val="26"/>
    </w:rPr>
  </w:style>
  <w:style w:type="character" w:customStyle="1" w:styleId="Heading6Char">
    <w:name w:val="Heading 6 Char"/>
    <w:link w:val="Heading6"/>
    <w:uiPriority w:val="9"/>
    <w:semiHidden/>
    <w:locked/>
    <w:rPr>
      <w:rFonts w:ascii="Calibri" w:eastAsia="Times New Roman" w:hAnsi="Calibri" w:cs="Times New Roman"/>
      <w:b/>
      <w:bCs/>
    </w:rPr>
  </w:style>
  <w:style w:type="character" w:customStyle="1" w:styleId="Heading7Char">
    <w:name w:val="Heading 7 Char"/>
    <w:link w:val="Heading7"/>
    <w:uiPriority w:val="9"/>
    <w:semiHidden/>
    <w:locked/>
    <w:rPr>
      <w:rFonts w:ascii="Calibri" w:eastAsia="Times New Roman" w:hAnsi="Calibri" w:cs="Times New Roman"/>
      <w:sz w:val="24"/>
      <w:szCs w:val="24"/>
    </w:rPr>
  </w:style>
  <w:style w:type="character" w:customStyle="1" w:styleId="Heading8Char">
    <w:name w:val="Heading 8 Char"/>
    <w:link w:val="Heading8"/>
    <w:uiPriority w:val="9"/>
    <w:semiHidden/>
    <w:locked/>
    <w:rPr>
      <w:rFonts w:ascii="Calibri" w:eastAsia="Times New Roman" w:hAnsi="Calibri" w:cs="Times New Roman"/>
      <w:i/>
      <w:iCs/>
      <w:sz w:val="24"/>
      <w:szCs w:val="24"/>
    </w:rPr>
  </w:style>
  <w:style w:type="character" w:customStyle="1" w:styleId="Heading9Char">
    <w:name w:val="Heading 9 Char"/>
    <w:link w:val="Heading9"/>
    <w:uiPriority w:val="9"/>
    <w:semiHidden/>
    <w:locked/>
    <w:rPr>
      <w:rFonts w:ascii="Cambria" w:eastAsia="Times New Roman" w:hAnsi="Cambria" w:cs="Times New Roman"/>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link w:val="BodyText"/>
    <w:uiPriority w:val="99"/>
    <w:semiHidden/>
    <w:locked/>
    <w:rPr>
      <w:rFonts w:cs="Times New Roman"/>
      <w:sz w:val="20"/>
      <w:szCs w:val="20"/>
    </w:rPr>
  </w:style>
  <w:style w:type="paragraph" w:styleId="BodyText2">
    <w:name w:val="Body Text 2"/>
    <w:basedOn w:val="Normal"/>
    <w:link w:val="BodyText2Char"/>
    <w:uiPriority w:val="99"/>
    <w:pPr>
      <w:tabs>
        <w:tab w:val="left" w:pos="900"/>
      </w:tabs>
      <w:spacing w:before="120" w:after="120"/>
      <w:jc w:val="both"/>
    </w:pPr>
    <w:rPr>
      <w:color w:val="000000"/>
      <w:sz w:val="24"/>
      <w:szCs w:val="24"/>
    </w:rPr>
  </w:style>
  <w:style w:type="character" w:customStyle="1" w:styleId="BodyText2Char">
    <w:name w:val="Body Text 2 Char"/>
    <w:link w:val="BodyText2"/>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locked/>
    <w:rPr>
      <w:rFonts w:cs="Times New Roman"/>
      <w:sz w:val="20"/>
      <w:szCs w:val="20"/>
    </w:rPr>
  </w:style>
  <w:style w:type="paragraph" w:customStyle="1" w:styleId="ReferenceLine">
    <w:name w:val="Reference Line"/>
    <w:basedOn w:val="BodyText"/>
    <w:uiPriority w:val="99"/>
  </w:style>
  <w:style w:type="paragraph" w:customStyle="1" w:styleId="CcList">
    <w:name w:val="Cc List"/>
    <w:basedOn w:val="Normal"/>
    <w:uiPriority w:val="99"/>
    <w:pPr>
      <w:widowControl w:val="0"/>
    </w:pPr>
    <w:rPr>
      <w:sz w:val="24"/>
      <w:szCs w:val="24"/>
    </w:rPr>
  </w:style>
  <w:style w:type="paragraph" w:styleId="BodyText3">
    <w:name w:val="Body Text 3"/>
    <w:basedOn w:val="Normal"/>
    <w:link w:val="BodyText3Char"/>
    <w:uiPriority w:val="99"/>
    <w:pPr>
      <w:widowControl w:val="0"/>
      <w:tabs>
        <w:tab w:val="left" w:pos="90"/>
      </w:tabs>
      <w:spacing w:after="240"/>
    </w:pPr>
    <w:rPr>
      <w:color w:val="000000"/>
      <w:sz w:val="24"/>
      <w:szCs w:val="24"/>
    </w:rPr>
  </w:style>
  <w:style w:type="character" w:customStyle="1" w:styleId="BodyText3Char">
    <w:name w:val="Body Text 3 Char"/>
    <w:link w:val="BodyText3"/>
    <w:uiPriority w:val="99"/>
    <w:semiHidden/>
    <w:locked/>
    <w:rPr>
      <w:rFonts w:cs="Times New Roman"/>
      <w:sz w:val="16"/>
      <w:szCs w:val="16"/>
    </w:rPr>
  </w:style>
  <w:style w:type="paragraph" w:styleId="Caption">
    <w:name w:val="caption"/>
    <w:basedOn w:val="Normal"/>
    <w:next w:val="Normal"/>
    <w:uiPriority w:val="99"/>
    <w:qFormat/>
    <w:pPr>
      <w:tabs>
        <w:tab w:val="center" w:pos="4650"/>
      </w:tabs>
    </w:pPr>
    <w:rPr>
      <w:color w:val="000000"/>
      <w:sz w:val="24"/>
      <w:szCs w:val="24"/>
    </w:rPr>
  </w:style>
  <w:style w:type="paragraph" w:styleId="BodyTextIndent2">
    <w:name w:val="Body Text Indent 2"/>
    <w:basedOn w:val="Normal"/>
    <w:link w:val="BodyTextIndent2Char"/>
    <w:uiPriority w:val="99"/>
    <w:pPr>
      <w:tabs>
        <w:tab w:val="left" w:pos="5220"/>
      </w:tabs>
      <w:ind w:left="4320"/>
    </w:pPr>
    <w:rPr>
      <w:color w:val="000000"/>
      <w:sz w:val="24"/>
      <w:szCs w:val="24"/>
    </w:rPr>
  </w:style>
  <w:style w:type="character" w:customStyle="1" w:styleId="BodyTextIndent2Char">
    <w:name w:val="Body Text Indent 2 Char"/>
    <w:link w:val="BodyTextIndent2"/>
    <w:uiPriority w:val="99"/>
    <w:semiHidden/>
    <w:locked/>
    <w:rPr>
      <w:rFonts w:cs="Times New Roman"/>
      <w:sz w:val="20"/>
      <w:szCs w:val="20"/>
    </w:rPr>
  </w:style>
  <w:style w:type="paragraph" w:styleId="BodyTextIndent3">
    <w:name w:val="Body Text Indent 3"/>
    <w:basedOn w:val="Normal"/>
    <w:link w:val="BodyTextIndent3Char"/>
    <w:uiPriority w:val="99"/>
    <w:pPr>
      <w:tabs>
        <w:tab w:val="left" w:pos="5220"/>
      </w:tabs>
      <w:ind w:left="4320"/>
    </w:pPr>
    <w:rPr>
      <w:sz w:val="24"/>
      <w:szCs w:val="24"/>
    </w:rPr>
  </w:style>
  <w:style w:type="character" w:customStyle="1" w:styleId="BodyTextIndent3Char">
    <w:name w:val="Body Text Indent 3 Char"/>
    <w:link w:val="BodyTextIndent3"/>
    <w:uiPriority w:val="99"/>
    <w:semiHidden/>
    <w:locked/>
    <w:rPr>
      <w:rFonts w:cs="Times New Roman"/>
      <w:sz w:val="16"/>
      <w:szCs w:val="16"/>
    </w:rPr>
  </w:style>
  <w:style w:type="paragraph" w:customStyle="1" w:styleId="1">
    <w:name w:val="1"/>
    <w:aliases w:val="2,3"/>
    <w:uiPriority w:val="99"/>
    <w:pPr>
      <w:autoSpaceDE w:val="0"/>
      <w:autoSpaceDN w:val="0"/>
      <w:ind w:left="720"/>
    </w:pPr>
    <w:rPr>
      <w:rFonts w:ascii="CG Times" w:hAnsi="CG Times" w:cs="CG Times"/>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semiHidden/>
    <w:locked/>
    <w:rPr>
      <w:rFonts w:cs="Times New Roman"/>
      <w:sz w:val="20"/>
      <w:szCs w:val="20"/>
    </w:rPr>
  </w:style>
  <w:style w:type="paragraph" w:styleId="BalloonText">
    <w:name w:val="Balloon Text"/>
    <w:basedOn w:val="Normal"/>
    <w:link w:val="BalloonTextChar"/>
    <w:uiPriority w:val="99"/>
    <w:semiHidden/>
    <w:rsid w:val="00FC0485"/>
    <w:rPr>
      <w:rFonts w:ascii="Tahoma" w:hAnsi="Tahoma" w:cs="Tahoma"/>
      <w:sz w:val="16"/>
      <w:szCs w:val="16"/>
    </w:rPr>
  </w:style>
  <w:style w:type="character" w:customStyle="1" w:styleId="BalloonTextChar">
    <w:name w:val="Balloon Text Char"/>
    <w:link w:val="BalloonText"/>
    <w:uiPriority w:val="99"/>
    <w:semiHidden/>
    <w:locked/>
    <w:rPr>
      <w:rFonts w:ascii="Tahoma" w:hAnsi="Tahoma" w:cs="Tahoma"/>
      <w:sz w:val="16"/>
      <w:szCs w:val="16"/>
    </w:rPr>
  </w:style>
  <w:style w:type="character" w:styleId="CommentReference">
    <w:name w:val="annotation reference"/>
    <w:uiPriority w:val="99"/>
    <w:semiHidden/>
    <w:unhideWhenUsed/>
    <w:rsid w:val="00461018"/>
    <w:rPr>
      <w:rFonts w:cs="Times New Roman"/>
      <w:sz w:val="16"/>
      <w:szCs w:val="16"/>
    </w:rPr>
  </w:style>
  <w:style w:type="paragraph" w:styleId="CommentText">
    <w:name w:val="annotation text"/>
    <w:basedOn w:val="Normal"/>
    <w:link w:val="CommentTextChar"/>
    <w:uiPriority w:val="99"/>
    <w:semiHidden/>
    <w:unhideWhenUsed/>
    <w:rsid w:val="00461018"/>
  </w:style>
  <w:style w:type="character" w:customStyle="1" w:styleId="CommentTextChar">
    <w:name w:val="Comment Text Char"/>
    <w:link w:val="CommentText"/>
    <w:uiPriority w:val="99"/>
    <w:semiHidden/>
    <w:locked/>
    <w:rsid w:val="00461018"/>
    <w:rPr>
      <w:rFonts w:cs="Times New Roman"/>
      <w:sz w:val="20"/>
      <w:szCs w:val="20"/>
    </w:rPr>
  </w:style>
  <w:style w:type="paragraph" w:styleId="CommentSubject">
    <w:name w:val="annotation subject"/>
    <w:basedOn w:val="CommentText"/>
    <w:next w:val="CommentText"/>
    <w:link w:val="CommentSubjectChar"/>
    <w:uiPriority w:val="99"/>
    <w:semiHidden/>
    <w:unhideWhenUsed/>
    <w:rsid w:val="00461018"/>
    <w:rPr>
      <w:b/>
      <w:bCs/>
    </w:rPr>
  </w:style>
  <w:style w:type="character" w:customStyle="1" w:styleId="CommentSubjectChar">
    <w:name w:val="Comment Subject Char"/>
    <w:link w:val="CommentSubject"/>
    <w:uiPriority w:val="99"/>
    <w:semiHidden/>
    <w:locked/>
    <w:rsid w:val="00461018"/>
    <w:rPr>
      <w:rFonts w:cs="Times New Roman"/>
      <w:b/>
      <w:bCs/>
      <w:sz w:val="20"/>
      <w:szCs w:val="20"/>
    </w:rPr>
  </w:style>
  <w:style w:type="table" w:styleId="TableGrid">
    <w:name w:val="Table Grid"/>
    <w:basedOn w:val="TableNormal"/>
    <w:uiPriority w:val="59"/>
    <w:rsid w:val="00C72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rsid w:val="006A52EB"/>
  </w:style>
  <w:style w:type="paragraph" w:styleId="ListParagraph">
    <w:name w:val="List Paragraph"/>
    <w:basedOn w:val="Normal"/>
    <w:uiPriority w:val="34"/>
    <w:qFormat/>
    <w:rsid w:val="00585EE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1742</Words>
  <Characters>9932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Tempo Field</vt:lpstr>
    </vt:vector>
  </TitlesOfParts>
  <Company>Office of Pollution Control</Company>
  <LinksUpToDate>false</LinksUpToDate>
  <CharactersWithSpaces>11651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Tempo Field</dc:title>
  <dc:subject/>
  <dc:creator>Bruce Ferguson</dc:creator>
  <cp:keywords/>
  <dc:description/>
  <cp:lastModifiedBy>Jaricus Whitlock</cp:lastModifiedBy>
  <cp:revision>2</cp:revision>
  <cp:lastPrinted>2019-09-20T14:53:00Z</cp:lastPrinted>
  <dcterms:created xsi:type="dcterms:W3CDTF">2026-06-26T19:03:00Z</dcterms:created>
  <dcterms:modified xsi:type="dcterms:W3CDTF">2026-06-26T19:03:00Z</dcterms:modified>
</cp:coreProperties>
</file>