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B135D" w14:textId="77777777" w:rsidR="00AE785C" w:rsidRDefault="00AE785C">
      <w:pPr>
        <w:pStyle w:val="Title"/>
        <w:rPr>
          <w:sz w:val="28"/>
          <w:szCs w:val="28"/>
          <w:u w:val="single"/>
        </w:rPr>
      </w:pPr>
      <w:r>
        <w:rPr>
          <w:sz w:val="28"/>
          <w:szCs w:val="28"/>
          <w:u w:val="single"/>
        </w:rPr>
        <w:t>PERMIT REVIEW SUMMARY</w:t>
      </w:r>
    </w:p>
    <w:p w14:paraId="4972C109" w14:textId="77777777" w:rsidR="00AE785C" w:rsidRDefault="00AE785C">
      <w:pPr>
        <w:pStyle w:val="Title"/>
        <w:jc w:val="both"/>
      </w:pPr>
    </w:p>
    <w:p w14:paraId="52643F79" w14:textId="498ECA62" w:rsidR="00233312" w:rsidRDefault="00233312" w:rsidP="00233312">
      <w:pPr>
        <w:pStyle w:val="Title"/>
        <w:jc w:val="both"/>
      </w:pPr>
      <w:r>
        <w:t>Permit Writer:</w:t>
      </w:r>
      <w:r>
        <w:tab/>
      </w:r>
      <w:r w:rsidR="003B2E0F">
        <w:rPr>
          <w:b w:val="0"/>
        </w:rPr>
        <w:t>Megan Rupp</w:t>
      </w:r>
      <w:r>
        <w:rPr>
          <w:b w:val="0"/>
        </w:rPr>
        <w:t xml:space="preserve"> </w:t>
      </w:r>
      <w:r>
        <w:rPr>
          <w:b w:val="0"/>
        </w:rPr>
        <w:tab/>
      </w:r>
      <w:r>
        <w:t>Date:</w:t>
      </w:r>
      <w:r>
        <w:rPr>
          <w:b w:val="0"/>
        </w:rPr>
        <w:tab/>
      </w:r>
      <w:r w:rsidR="0030533E">
        <w:rPr>
          <w:b w:val="0"/>
        </w:rPr>
        <w:t xml:space="preserve">June </w:t>
      </w:r>
      <w:r w:rsidR="00D26D6E">
        <w:rPr>
          <w:b w:val="0"/>
        </w:rPr>
        <w:t>24</w:t>
      </w:r>
      <w:r w:rsidR="00B13733">
        <w:rPr>
          <w:b w:val="0"/>
        </w:rPr>
        <w:t>, 2020</w:t>
      </w:r>
    </w:p>
    <w:p w14:paraId="6AE3F08D" w14:textId="77777777" w:rsidR="00562523" w:rsidRDefault="00562523">
      <w:pPr>
        <w:pStyle w:val="Title"/>
        <w:jc w:val="both"/>
      </w:pPr>
    </w:p>
    <w:p w14:paraId="45904B22" w14:textId="560AB76B" w:rsidR="00AE785C" w:rsidRDefault="00AE785C">
      <w:pPr>
        <w:pStyle w:val="Title"/>
        <w:jc w:val="both"/>
      </w:pPr>
      <w:r>
        <w:t>Company Name:</w:t>
      </w:r>
      <w:r>
        <w:tab/>
      </w:r>
      <w:r>
        <w:rPr>
          <w:b w:val="0"/>
          <w:bCs w:val="0"/>
        </w:rPr>
        <w:t>Kohler Company, Hattiesburg Engine Plant</w:t>
      </w:r>
      <w:r w:rsidR="00A175DF">
        <w:rPr>
          <w:b w:val="0"/>
          <w:bCs w:val="0"/>
        </w:rPr>
        <w:t xml:space="preserve"> </w:t>
      </w:r>
      <w:r w:rsidR="003C1849">
        <w:rPr>
          <w:b w:val="0"/>
          <w:bCs w:val="0"/>
        </w:rPr>
        <w:t>#</w:t>
      </w:r>
      <w:r w:rsidR="00022BAA">
        <w:rPr>
          <w:b w:val="0"/>
          <w:bCs w:val="0"/>
        </w:rPr>
        <w:t>1</w:t>
      </w:r>
    </w:p>
    <w:p w14:paraId="4B9F1F35" w14:textId="77777777" w:rsidR="00AE785C" w:rsidRDefault="00AE785C">
      <w:pPr>
        <w:pStyle w:val="Title"/>
        <w:jc w:val="both"/>
      </w:pPr>
    </w:p>
    <w:p w14:paraId="327D1583" w14:textId="77777777" w:rsidR="00AE785C" w:rsidRDefault="00AE785C">
      <w:pPr>
        <w:pStyle w:val="Title"/>
        <w:jc w:val="both"/>
        <w:rPr>
          <w:b w:val="0"/>
          <w:bCs w:val="0"/>
        </w:rPr>
      </w:pPr>
      <w:r>
        <w:t>Facility Location:</w:t>
      </w:r>
      <w:r>
        <w:tab/>
      </w:r>
      <w:r>
        <w:rPr>
          <w:b w:val="0"/>
          <w:bCs w:val="0"/>
        </w:rPr>
        <w:t xml:space="preserve">182 John </w:t>
      </w:r>
      <w:proofErr w:type="spellStart"/>
      <w:r>
        <w:rPr>
          <w:b w:val="0"/>
          <w:bCs w:val="0"/>
        </w:rPr>
        <w:t>Merl</w:t>
      </w:r>
      <w:proofErr w:type="spellEnd"/>
      <w:r>
        <w:rPr>
          <w:b w:val="0"/>
          <w:bCs w:val="0"/>
        </w:rPr>
        <w:t xml:space="preserve"> Tatum Industrial Drive</w:t>
      </w:r>
    </w:p>
    <w:p w14:paraId="03AF1397" w14:textId="77777777" w:rsidR="003B2E0F" w:rsidRDefault="003B2E0F">
      <w:pPr>
        <w:pStyle w:val="Title"/>
        <w:jc w:val="both"/>
        <w:rPr>
          <w:b w:val="0"/>
          <w:bCs w:val="0"/>
        </w:rPr>
      </w:pPr>
      <w:r>
        <w:rPr>
          <w:b w:val="0"/>
          <w:bCs w:val="0"/>
        </w:rPr>
        <w:tab/>
      </w:r>
      <w:r>
        <w:rPr>
          <w:b w:val="0"/>
          <w:bCs w:val="0"/>
        </w:rPr>
        <w:tab/>
      </w:r>
      <w:r>
        <w:rPr>
          <w:b w:val="0"/>
          <w:bCs w:val="0"/>
        </w:rPr>
        <w:tab/>
        <w:t>Hattiesburg, MS</w:t>
      </w:r>
    </w:p>
    <w:p w14:paraId="6E8F48E4" w14:textId="77777777" w:rsidR="00AE785C" w:rsidRDefault="00AE785C">
      <w:pPr>
        <w:pStyle w:val="Title"/>
        <w:jc w:val="both"/>
      </w:pPr>
    </w:p>
    <w:p w14:paraId="09EC4625" w14:textId="77777777" w:rsidR="00AE785C" w:rsidRDefault="00AE785C">
      <w:pPr>
        <w:pStyle w:val="Title"/>
        <w:jc w:val="both"/>
      </w:pPr>
      <w:r>
        <w:t>Source Number:</w:t>
      </w:r>
      <w:r>
        <w:tab/>
      </w:r>
      <w:r>
        <w:rPr>
          <w:b w:val="0"/>
          <w:bCs w:val="0"/>
        </w:rPr>
        <w:t>0800-00092</w:t>
      </w:r>
    </w:p>
    <w:p w14:paraId="484BC1E6" w14:textId="77777777" w:rsidR="00AE785C" w:rsidRDefault="00AE785C">
      <w:pPr>
        <w:pStyle w:val="Title"/>
        <w:jc w:val="both"/>
      </w:pPr>
    </w:p>
    <w:p w14:paraId="1D5A60D6" w14:textId="77777777" w:rsidR="00AE785C" w:rsidRDefault="00AE785C">
      <w:pPr>
        <w:pStyle w:val="Title"/>
        <w:jc w:val="both"/>
      </w:pPr>
      <w:r>
        <w:t xml:space="preserve">County: </w:t>
      </w:r>
      <w:r>
        <w:tab/>
      </w:r>
      <w:r>
        <w:tab/>
      </w:r>
      <w:r>
        <w:rPr>
          <w:b w:val="0"/>
          <w:bCs w:val="0"/>
        </w:rPr>
        <w:t>Forrest</w:t>
      </w:r>
    </w:p>
    <w:p w14:paraId="2F41A1C6" w14:textId="77777777" w:rsidR="00AE785C" w:rsidRDefault="00AE785C">
      <w:pPr>
        <w:pStyle w:val="Title"/>
        <w:jc w:val="both"/>
      </w:pPr>
    </w:p>
    <w:p w14:paraId="03E7ECF8" w14:textId="77777777" w:rsidR="001D7E96" w:rsidRDefault="001D7E96" w:rsidP="001D7E96">
      <w:pPr>
        <w:pStyle w:val="Title"/>
        <w:jc w:val="both"/>
        <w:rPr>
          <w:u w:val="single"/>
        </w:rPr>
      </w:pPr>
      <w:r>
        <w:rPr>
          <w:u w:val="single"/>
        </w:rPr>
        <w:t>FACILITY DESCRIPTION</w:t>
      </w:r>
    </w:p>
    <w:p w14:paraId="737A96DF" w14:textId="09687D76" w:rsidR="00514CEE" w:rsidRDefault="002254E6" w:rsidP="002254E6">
      <w:pPr>
        <w:pStyle w:val="Title"/>
        <w:jc w:val="both"/>
        <w:rPr>
          <w:b w:val="0"/>
          <w:bCs w:val="0"/>
        </w:rPr>
      </w:pPr>
      <w:r w:rsidRPr="002254E6">
        <w:rPr>
          <w:b w:val="0"/>
          <w:bCs w:val="0"/>
        </w:rPr>
        <w:t>Kohler Company, Hattiesburg Engine Plant</w:t>
      </w:r>
      <w:r w:rsidR="00A175DF">
        <w:rPr>
          <w:b w:val="0"/>
          <w:bCs w:val="0"/>
        </w:rPr>
        <w:t xml:space="preserve"> #1</w:t>
      </w:r>
      <w:r w:rsidRPr="002254E6">
        <w:rPr>
          <w:b w:val="0"/>
          <w:bCs w:val="0"/>
        </w:rPr>
        <w:t xml:space="preserve"> (Kohler) is an existing internal combustion engine machining</w:t>
      </w:r>
      <w:r w:rsidR="00912F49">
        <w:rPr>
          <w:b w:val="0"/>
          <w:bCs w:val="0"/>
        </w:rPr>
        <w:t xml:space="preserve"> </w:t>
      </w:r>
      <w:r w:rsidRPr="002254E6">
        <w:rPr>
          <w:b w:val="0"/>
          <w:bCs w:val="0"/>
        </w:rPr>
        <w:t>plant</w:t>
      </w:r>
      <w:r w:rsidR="00912F49">
        <w:rPr>
          <w:b w:val="0"/>
          <w:bCs w:val="0"/>
        </w:rPr>
        <w:t xml:space="preserve"> </w:t>
      </w:r>
      <w:r w:rsidRPr="002254E6">
        <w:rPr>
          <w:b w:val="0"/>
          <w:bCs w:val="0"/>
        </w:rPr>
        <w:t xml:space="preserve">located in Hattiesburg, Mississippi.  </w:t>
      </w:r>
      <w:r w:rsidR="00912F49">
        <w:rPr>
          <w:b w:val="0"/>
          <w:bCs w:val="0"/>
        </w:rPr>
        <w:t xml:space="preserve">Operations fall under SIC code 3519 and NAICS code 333618.  </w:t>
      </w:r>
      <w:r w:rsidRPr="002254E6">
        <w:rPr>
          <w:b w:val="0"/>
          <w:bCs w:val="0"/>
        </w:rPr>
        <w:t>Kohler’s emission sources include</w:t>
      </w:r>
      <w:r w:rsidR="002919C7">
        <w:rPr>
          <w:b w:val="0"/>
          <w:bCs w:val="0"/>
        </w:rPr>
        <w:t xml:space="preserve"> standby generators, </w:t>
      </w:r>
      <w:r w:rsidR="00D26D6E">
        <w:rPr>
          <w:b w:val="0"/>
          <w:bCs w:val="0"/>
        </w:rPr>
        <w:t xml:space="preserve">industrial </w:t>
      </w:r>
      <w:r w:rsidR="002919C7">
        <w:rPr>
          <w:b w:val="0"/>
          <w:bCs w:val="0"/>
        </w:rPr>
        <w:t>part washers, and an evaporator.</w:t>
      </w:r>
      <w:r w:rsidRPr="002254E6">
        <w:rPr>
          <w:b w:val="0"/>
          <w:bCs w:val="0"/>
        </w:rPr>
        <w:t xml:space="preserve"> </w:t>
      </w:r>
    </w:p>
    <w:p w14:paraId="40FACC5E" w14:textId="77777777" w:rsidR="00514CEE" w:rsidRDefault="00514CEE" w:rsidP="002254E6">
      <w:pPr>
        <w:pStyle w:val="Title"/>
        <w:jc w:val="both"/>
        <w:rPr>
          <w:b w:val="0"/>
          <w:bCs w:val="0"/>
        </w:rPr>
      </w:pPr>
    </w:p>
    <w:p w14:paraId="707F0697" w14:textId="77777777" w:rsidR="002919C7" w:rsidRPr="002919C7" w:rsidRDefault="002919C7" w:rsidP="002919C7">
      <w:pPr>
        <w:pStyle w:val="Title"/>
        <w:jc w:val="both"/>
        <w:rPr>
          <w:b w:val="0"/>
          <w:bCs w:val="0"/>
          <w:u w:val="single"/>
        </w:rPr>
      </w:pPr>
      <w:r w:rsidRPr="002919C7">
        <w:rPr>
          <w:b w:val="0"/>
          <w:bCs w:val="0"/>
          <w:u w:val="single"/>
        </w:rPr>
        <w:t>Standby Generators (Emission Point AA-001)</w:t>
      </w:r>
    </w:p>
    <w:p w14:paraId="542CC3E4" w14:textId="1DB8CF1E" w:rsidR="00514CEE" w:rsidRDefault="00514CEE" w:rsidP="002919C7">
      <w:pPr>
        <w:pStyle w:val="Title"/>
        <w:jc w:val="both"/>
        <w:rPr>
          <w:b w:val="0"/>
          <w:bCs w:val="0"/>
        </w:rPr>
      </w:pPr>
      <w:r>
        <w:rPr>
          <w:b w:val="0"/>
          <w:bCs w:val="0"/>
        </w:rPr>
        <w:t>T</w:t>
      </w:r>
      <w:r w:rsidR="002254E6" w:rsidRPr="002254E6">
        <w:rPr>
          <w:b w:val="0"/>
          <w:bCs w:val="0"/>
        </w:rPr>
        <w:t>wo (2) 293</w:t>
      </w:r>
      <w:r w:rsidR="00CF2494">
        <w:rPr>
          <w:b w:val="0"/>
          <w:bCs w:val="0"/>
        </w:rPr>
        <w:t>5</w:t>
      </w:r>
      <w:r w:rsidR="002254E6" w:rsidRPr="002254E6">
        <w:rPr>
          <w:b w:val="0"/>
          <w:bCs w:val="0"/>
        </w:rPr>
        <w:t xml:space="preserve"> HP diesel-fired compression ignition RICE operating as standby generators</w:t>
      </w:r>
      <w:r>
        <w:rPr>
          <w:b w:val="0"/>
          <w:bCs w:val="0"/>
        </w:rPr>
        <w:t>, manufactured in 1998.  The engines are equipped with oxidation catalysts to reduce CO emissions</w:t>
      </w:r>
      <w:r w:rsidR="00CF2494">
        <w:rPr>
          <w:b w:val="0"/>
          <w:bCs w:val="0"/>
        </w:rPr>
        <w:t>.</w:t>
      </w:r>
      <w:r w:rsidR="00A14FBD">
        <w:rPr>
          <w:b w:val="0"/>
          <w:bCs w:val="0"/>
        </w:rPr>
        <w:t xml:space="preserve">  </w:t>
      </w:r>
      <w:r w:rsidR="00B13733">
        <w:rPr>
          <w:b w:val="0"/>
          <w:bCs w:val="0"/>
        </w:rPr>
        <w:t>To stay below major Title V source threshold</w:t>
      </w:r>
      <w:r w:rsidR="00AC4297">
        <w:rPr>
          <w:b w:val="0"/>
          <w:bCs w:val="0"/>
        </w:rPr>
        <w:t xml:space="preserve"> for NO</w:t>
      </w:r>
      <w:r w:rsidR="00AC4297">
        <w:rPr>
          <w:b w:val="0"/>
          <w:bCs w:val="0"/>
          <w:vertAlign w:val="subscript"/>
        </w:rPr>
        <w:t>x</w:t>
      </w:r>
      <w:r w:rsidR="00B13733">
        <w:rPr>
          <w:b w:val="0"/>
          <w:bCs w:val="0"/>
        </w:rPr>
        <w:t xml:space="preserve">, </w:t>
      </w:r>
      <w:r w:rsidR="00A14FBD">
        <w:rPr>
          <w:b w:val="0"/>
          <w:bCs w:val="0"/>
        </w:rPr>
        <w:t xml:space="preserve">Kohler has proposed limiting the </w:t>
      </w:r>
      <w:r w:rsidR="00D26D6E">
        <w:rPr>
          <w:b w:val="0"/>
          <w:bCs w:val="0"/>
        </w:rPr>
        <w:t xml:space="preserve">combined </w:t>
      </w:r>
      <w:r w:rsidR="00A14FBD">
        <w:rPr>
          <w:b w:val="0"/>
          <w:bCs w:val="0"/>
        </w:rPr>
        <w:t>hours of operation of</w:t>
      </w:r>
      <w:r w:rsidR="006C1AFB">
        <w:rPr>
          <w:b w:val="0"/>
          <w:bCs w:val="0"/>
        </w:rPr>
        <w:t xml:space="preserve"> </w:t>
      </w:r>
      <w:r w:rsidR="00D26D6E">
        <w:rPr>
          <w:b w:val="0"/>
          <w:bCs w:val="0"/>
        </w:rPr>
        <w:t>both</w:t>
      </w:r>
      <w:r w:rsidR="0005046D">
        <w:rPr>
          <w:b w:val="0"/>
          <w:bCs w:val="0"/>
        </w:rPr>
        <w:t xml:space="preserve"> </w:t>
      </w:r>
      <w:r w:rsidR="00A14FBD">
        <w:rPr>
          <w:b w:val="0"/>
          <w:bCs w:val="0"/>
        </w:rPr>
        <w:t>engine</w:t>
      </w:r>
      <w:r w:rsidR="00D26D6E">
        <w:rPr>
          <w:b w:val="0"/>
          <w:bCs w:val="0"/>
        </w:rPr>
        <w:t>s</w:t>
      </w:r>
      <w:r w:rsidR="00A14FBD">
        <w:rPr>
          <w:b w:val="0"/>
          <w:bCs w:val="0"/>
        </w:rPr>
        <w:t xml:space="preserve"> to </w:t>
      </w:r>
      <w:r w:rsidR="00D26D6E">
        <w:rPr>
          <w:b w:val="0"/>
          <w:bCs w:val="0"/>
        </w:rPr>
        <w:t>3,000</w:t>
      </w:r>
      <w:r w:rsidR="00A14FBD">
        <w:rPr>
          <w:b w:val="0"/>
          <w:bCs w:val="0"/>
        </w:rPr>
        <w:t xml:space="preserve"> hours per year</w:t>
      </w:r>
      <w:r w:rsidR="00CF1CDD">
        <w:rPr>
          <w:b w:val="0"/>
          <w:bCs w:val="0"/>
        </w:rPr>
        <w:t>.</w:t>
      </w:r>
    </w:p>
    <w:p w14:paraId="5463F78A" w14:textId="77777777" w:rsidR="002919C7" w:rsidRDefault="002919C7" w:rsidP="002919C7">
      <w:pPr>
        <w:pStyle w:val="Title"/>
        <w:jc w:val="both"/>
        <w:rPr>
          <w:b w:val="0"/>
          <w:bCs w:val="0"/>
        </w:rPr>
      </w:pPr>
    </w:p>
    <w:p w14:paraId="1A1C50B0" w14:textId="115B34F3" w:rsidR="00514CEE" w:rsidRPr="002919C7" w:rsidRDefault="00A175DF" w:rsidP="002919C7">
      <w:pPr>
        <w:pStyle w:val="Title"/>
        <w:jc w:val="both"/>
        <w:rPr>
          <w:b w:val="0"/>
          <w:bCs w:val="0"/>
          <w:u w:val="single"/>
        </w:rPr>
      </w:pPr>
      <w:r>
        <w:rPr>
          <w:b w:val="0"/>
          <w:bCs w:val="0"/>
          <w:u w:val="single"/>
        </w:rPr>
        <w:t xml:space="preserve">Industrial </w:t>
      </w:r>
      <w:r w:rsidR="00CF2494" w:rsidRPr="002919C7">
        <w:rPr>
          <w:b w:val="0"/>
          <w:bCs w:val="0"/>
          <w:u w:val="single"/>
        </w:rPr>
        <w:t>Part Washer Systems</w:t>
      </w:r>
      <w:r w:rsidR="003976F8">
        <w:rPr>
          <w:b w:val="0"/>
          <w:bCs w:val="0"/>
          <w:u w:val="single"/>
        </w:rPr>
        <w:t xml:space="preserve"> (Emission Point AA-00</w:t>
      </w:r>
      <w:r w:rsidR="00022BAA">
        <w:rPr>
          <w:b w:val="0"/>
          <w:bCs w:val="0"/>
          <w:u w:val="single"/>
        </w:rPr>
        <w:t>4</w:t>
      </w:r>
      <w:r w:rsidR="003976F8">
        <w:rPr>
          <w:b w:val="0"/>
          <w:bCs w:val="0"/>
          <w:u w:val="single"/>
        </w:rPr>
        <w:t>)</w:t>
      </w:r>
    </w:p>
    <w:p w14:paraId="4B502476" w14:textId="7C5F893C" w:rsidR="002919C7" w:rsidRDefault="00CF1CDD" w:rsidP="002919C7">
      <w:pPr>
        <w:pStyle w:val="Title"/>
        <w:jc w:val="both"/>
        <w:rPr>
          <w:b w:val="0"/>
          <w:bCs w:val="0"/>
        </w:rPr>
      </w:pPr>
      <w:r>
        <w:rPr>
          <w:b w:val="0"/>
          <w:bCs w:val="0"/>
        </w:rPr>
        <w:t xml:space="preserve">Thirteen (13) part washer systems; </w:t>
      </w:r>
      <w:r w:rsidRPr="00CF1CDD">
        <w:rPr>
          <w:b w:val="0"/>
          <w:bCs w:val="0"/>
        </w:rPr>
        <w:t xml:space="preserve">four (4) with natural gas-fired burners, and nine (9) </w:t>
      </w:r>
      <w:r w:rsidR="006626B3">
        <w:rPr>
          <w:b w:val="0"/>
          <w:bCs w:val="0"/>
        </w:rPr>
        <w:t xml:space="preserve">with </w:t>
      </w:r>
      <w:r w:rsidRPr="00CF1CDD">
        <w:rPr>
          <w:b w:val="0"/>
          <w:bCs w:val="0"/>
        </w:rPr>
        <w:t>electric burners</w:t>
      </w:r>
      <w:r>
        <w:rPr>
          <w:b w:val="0"/>
          <w:bCs w:val="0"/>
        </w:rPr>
        <w:t xml:space="preserve">.  The rust preventative </w:t>
      </w:r>
      <w:r w:rsidR="00E12BF2">
        <w:rPr>
          <w:b w:val="0"/>
          <w:bCs w:val="0"/>
        </w:rPr>
        <w:t xml:space="preserve">used in Stage 3 in some of the part washer systems contains VOCs.  </w:t>
      </w:r>
    </w:p>
    <w:p w14:paraId="5C93A95E" w14:textId="77777777" w:rsidR="003976F8" w:rsidRDefault="003976F8" w:rsidP="002919C7">
      <w:pPr>
        <w:pStyle w:val="Title"/>
        <w:jc w:val="both"/>
        <w:rPr>
          <w:b w:val="0"/>
          <w:bCs w:val="0"/>
        </w:rPr>
      </w:pPr>
    </w:p>
    <w:p w14:paraId="27D56792" w14:textId="09351071" w:rsidR="00912F49" w:rsidRPr="002919C7" w:rsidRDefault="002919C7" w:rsidP="002919C7">
      <w:pPr>
        <w:pStyle w:val="Title"/>
        <w:jc w:val="both"/>
        <w:rPr>
          <w:b w:val="0"/>
          <w:bCs w:val="0"/>
          <w:u w:val="single"/>
        </w:rPr>
      </w:pPr>
      <w:r w:rsidRPr="002919C7">
        <w:rPr>
          <w:b w:val="0"/>
          <w:bCs w:val="0"/>
          <w:u w:val="single"/>
        </w:rPr>
        <w:t>Evaporator</w:t>
      </w:r>
      <w:r w:rsidR="003976F8">
        <w:rPr>
          <w:b w:val="0"/>
          <w:bCs w:val="0"/>
          <w:u w:val="single"/>
        </w:rPr>
        <w:t xml:space="preserve"> (Emission Point AA-00</w:t>
      </w:r>
      <w:r w:rsidR="00022BAA">
        <w:rPr>
          <w:b w:val="0"/>
          <w:bCs w:val="0"/>
          <w:u w:val="single"/>
        </w:rPr>
        <w:t>5</w:t>
      </w:r>
      <w:r w:rsidR="003976F8">
        <w:rPr>
          <w:b w:val="0"/>
          <w:bCs w:val="0"/>
          <w:u w:val="single"/>
        </w:rPr>
        <w:t>)</w:t>
      </w:r>
    </w:p>
    <w:p w14:paraId="40F31F82" w14:textId="77777777" w:rsidR="002919C7" w:rsidRDefault="00E12BF2" w:rsidP="002919C7">
      <w:pPr>
        <w:pStyle w:val="Title"/>
        <w:jc w:val="both"/>
        <w:rPr>
          <w:b w:val="0"/>
          <w:bCs w:val="0"/>
        </w:rPr>
      </w:pPr>
      <w:r w:rsidRPr="00E12BF2">
        <w:rPr>
          <w:b w:val="0"/>
          <w:bCs w:val="0"/>
        </w:rPr>
        <w:t>One (1) Evaporator with a 0.75 MMBtu/</w:t>
      </w:r>
      <w:proofErr w:type="spellStart"/>
      <w:r w:rsidRPr="00E12BF2">
        <w:rPr>
          <w:b w:val="0"/>
          <w:bCs w:val="0"/>
        </w:rPr>
        <w:t>hr</w:t>
      </w:r>
      <w:proofErr w:type="spellEnd"/>
      <w:r w:rsidRPr="00E12BF2">
        <w:rPr>
          <w:b w:val="0"/>
          <w:bCs w:val="0"/>
        </w:rPr>
        <w:t xml:space="preserve"> natural gas-fired burner</w:t>
      </w:r>
      <w:r>
        <w:rPr>
          <w:b w:val="0"/>
          <w:bCs w:val="0"/>
        </w:rPr>
        <w:t xml:space="preserve">.  The evaporator is used to evaporate wastewater from the metal working fluids, part washer detergents, and rust prevent solutions.  The waste solutions from the machining centers and parts washers are sent to the evaporator where the water is driven off and the solution concentrated.  The concentrated solution is sent off site as used oil to a recycler.  </w:t>
      </w:r>
    </w:p>
    <w:p w14:paraId="4A0CA567" w14:textId="77777777" w:rsidR="001D7E96" w:rsidRDefault="001D7E96" w:rsidP="001D7E96">
      <w:pPr>
        <w:pStyle w:val="Title"/>
        <w:jc w:val="both"/>
        <w:rPr>
          <w:u w:val="single"/>
        </w:rPr>
      </w:pPr>
    </w:p>
    <w:p w14:paraId="62323ED3" w14:textId="77777777" w:rsidR="001D7E96" w:rsidRDefault="001D7E96" w:rsidP="001D7E96">
      <w:pPr>
        <w:pStyle w:val="Title"/>
        <w:jc w:val="both"/>
        <w:rPr>
          <w:u w:val="single"/>
        </w:rPr>
      </w:pPr>
      <w:r>
        <w:rPr>
          <w:u w:val="single"/>
        </w:rPr>
        <w:t>PERMIT ACTION DESCRIPTION</w:t>
      </w:r>
    </w:p>
    <w:p w14:paraId="3CA11FC3" w14:textId="77777777" w:rsidR="003B2E0F" w:rsidRDefault="003B2E0F" w:rsidP="003B2E0F">
      <w:pPr>
        <w:pStyle w:val="Title"/>
        <w:jc w:val="both"/>
        <w:rPr>
          <w:b w:val="0"/>
          <w:bCs w:val="0"/>
        </w:rPr>
      </w:pPr>
      <w:r w:rsidRPr="003B2E0F">
        <w:rPr>
          <w:b w:val="0"/>
          <w:bCs w:val="0"/>
        </w:rPr>
        <w:t xml:space="preserve">On May 2, 2019, Kohler Company was issued a permit to construct (Ref. No. 0800-00117) for a new engine assembly and testing operations facility at 95 W L Runnels Industrial Drive Number 600 in Hattiesburg, MS – Hattiesburg Engine Plant Number 2.  Kohler Company </w:t>
      </w:r>
      <w:r>
        <w:rPr>
          <w:b w:val="0"/>
          <w:bCs w:val="0"/>
        </w:rPr>
        <w:t>has relocated</w:t>
      </w:r>
      <w:r w:rsidRPr="003B2E0F">
        <w:rPr>
          <w:b w:val="0"/>
          <w:bCs w:val="0"/>
        </w:rPr>
        <w:t xml:space="preserve"> the engine assembly and testing operations from this existing facility to the Runnels location.  The following equipment has been removed from the Hattiesburg Engine Plant, and has therefore been removed from this permit:</w:t>
      </w:r>
    </w:p>
    <w:p w14:paraId="0C4C4007" w14:textId="77777777" w:rsidR="0062600B" w:rsidRPr="003B2E0F" w:rsidRDefault="0062600B" w:rsidP="003B2E0F">
      <w:pPr>
        <w:pStyle w:val="Title"/>
        <w:jc w:val="both"/>
        <w:rPr>
          <w:b w:val="0"/>
          <w:bCs w:val="0"/>
        </w:rPr>
      </w:pPr>
    </w:p>
    <w:p w14:paraId="64410B42" w14:textId="7460F2F2" w:rsidR="003B2E0F" w:rsidRPr="003B2E0F" w:rsidRDefault="003B2E0F" w:rsidP="006C1AFB">
      <w:pPr>
        <w:pStyle w:val="Title"/>
        <w:numPr>
          <w:ilvl w:val="0"/>
          <w:numId w:val="14"/>
        </w:numPr>
        <w:jc w:val="both"/>
        <w:rPr>
          <w:b w:val="0"/>
          <w:bCs w:val="0"/>
        </w:rPr>
      </w:pPr>
      <w:r w:rsidRPr="003B2E0F">
        <w:rPr>
          <w:b w:val="0"/>
          <w:bCs w:val="0"/>
        </w:rPr>
        <w:t xml:space="preserve">Twin Assembly Production Engine Testing Line (Emission Point AA-002, EPN-63) – ten (10) test stands and two (2) audit stands with a testing capacity up to 27 HP. </w:t>
      </w:r>
    </w:p>
    <w:p w14:paraId="089A84BD" w14:textId="35729065" w:rsidR="006C1AFB" w:rsidRDefault="003B2E0F" w:rsidP="006C1AFB">
      <w:pPr>
        <w:pStyle w:val="Title"/>
        <w:numPr>
          <w:ilvl w:val="0"/>
          <w:numId w:val="14"/>
        </w:numPr>
        <w:jc w:val="both"/>
        <w:rPr>
          <w:b w:val="0"/>
          <w:bCs w:val="0"/>
        </w:rPr>
      </w:pPr>
      <w:r w:rsidRPr="003B2E0F">
        <w:rPr>
          <w:b w:val="0"/>
          <w:bCs w:val="0"/>
        </w:rPr>
        <w:lastRenderedPageBreak/>
        <w:t>Flex Line Production Engine Testing Line (Emission Point AA-002, EPN-32) – twelve (12) test stands and two (2) audit stands with a testing capacity up to 36 HP.</w:t>
      </w:r>
    </w:p>
    <w:p w14:paraId="071A3262" w14:textId="77777777" w:rsidR="00D26D6E" w:rsidRDefault="00D26D6E" w:rsidP="00D26D6E">
      <w:pPr>
        <w:pStyle w:val="Title"/>
        <w:ind w:left="1080"/>
        <w:jc w:val="both"/>
        <w:rPr>
          <w:b w:val="0"/>
          <w:bCs w:val="0"/>
        </w:rPr>
      </w:pPr>
    </w:p>
    <w:p w14:paraId="35C10BF3" w14:textId="130B9C37" w:rsidR="00A175DF" w:rsidRDefault="00660C21" w:rsidP="006C1AFB">
      <w:pPr>
        <w:pStyle w:val="Title"/>
        <w:numPr>
          <w:ilvl w:val="0"/>
          <w:numId w:val="14"/>
        </w:numPr>
        <w:jc w:val="both"/>
        <w:rPr>
          <w:b w:val="0"/>
          <w:bCs w:val="0"/>
        </w:rPr>
      </w:pPr>
      <w:r>
        <w:rPr>
          <w:b w:val="0"/>
          <w:bCs w:val="0"/>
        </w:rPr>
        <w:t>Reliability Testing (Emission Point AA-002, EPN-22) – eight (8) test stands with a testing capacity up to 27 hp.</w:t>
      </w:r>
    </w:p>
    <w:p w14:paraId="3F74AFD0" w14:textId="77777777" w:rsidR="00D26D6E" w:rsidRDefault="00D26D6E" w:rsidP="00D26D6E">
      <w:pPr>
        <w:pStyle w:val="Title"/>
        <w:jc w:val="both"/>
        <w:rPr>
          <w:b w:val="0"/>
          <w:bCs w:val="0"/>
        </w:rPr>
      </w:pPr>
    </w:p>
    <w:p w14:paraId="1DC92A14" w14:textId="0D51E5F4" w:rsidR="006C1AFB" w:rsidRDefault="00530CC9" w:rsidP="006C1AFB">
      <w:pPr>
        <w:pStyle w:val="Title"/>
        <w:numPr>
          <w:ilvl w:val="0"/>
          <w:numId w:val="14"/>
        </w:numPr>
        <w:jc w:val="both"/>
        <w:rPr>
          <w:b w:val="0"/>
          <w:bCs w:val="0"/>
        </w:rPr>
      </w:pPr>
      <w:r>
        <w:rPr>
          <w:b w:val="0"/>
          <w:bCs w:val="0"/>
        </w:rPr>
        <w:t xml:space="preserve">Gasoline dispensing facilities, including </w:t>
      </w:r>
      <w:r w:rsidR="00A9141A">
        <w:rPr>
          <w:b w:val="0"/>
          <w:bCs w:val="0"/>
        </w:rPr>
        <w:t xml:space="preserve">two </w:t>
      </w:r>
      <w:r w:rsidR="006C1AFB">
        <w:rPr>
          <w:b w:val="0"/>
          <w:bCs w:val="0"/>
        </w:rPr>
        <w:t>above-ground storage tank</w:t>
      </w:r>
      <w:r>
        <w:rPr>
          <w:b w:val="0"/>
          <w:bCs w:val="0"/>
        </w:rPr>
        <w:t>s (1500 gallons</w:t>
      </w:r>
      <w:r w:rsidR="00A60DC5">
        <w:rPr>
          <w:b w:val="0"/>
          <w:bCs w:val="0"/>
        </w:rPr>
        <w:t xml:space="preserve"> and 3000 gallons</w:t>
      </w:r>
      <w:commentRangeStart w:id="0"/>
      <w:commentRangeStart w:id="1"/>
      <w:commentRangeEnd w:id="0"/>
      <w:commentRangeEnd w:id="1"/>
      <w:r>
        <w:rPr>
          <w:b w:val="0"/>
          <w:bCs w:val="0"/>
        </w:rPr>
        <w:t>) which have been decommissioned and will no longer be used.</w:t>
      </w:r>
    </w:p>
    <w:p w14:paraId="19EF78B7" w14:textId="77777777" w:rsidR="00D26D6E" w:rsidRDefault="00D26D6E" w:rsidP="00D26D6E">
      <w:pPr>
        <w:pStyle w:val="Title"/>
        <w:jc w:val="both"/>
        <w:rPr>
          <w:b w:val="0"/>
          <w:bCs w:val="0"/>
        </w:rPr>
      </w:pPr>
    </w:p>
    <w:p w14:paraId="363AFF78" w14:textId="7962FEEA" w:rsidR="00D26D6E" w:rsidRDefault="00D26D6E" w:rsidP="006C1AFB">
      <w:pPr>
        <w:pStyle w:val="Title"/>
        <w:numPr>
          <w:ilvl w:val="0"/>
          <w:numId w:val="14"/>
        </w:numPr>
        <w:jc w:val="both"/>
        <w:rPr>
          <w:b w:val="0"/>
          <w:bCs w:val="0"/>
        </w:rPr>
      </w:pPr>
      <w:r>
        <w:rPr>
          <w:b w:val="0"/>
          <w:bCs w:val="0"/>
        </w:rPr>
        <w:t>One (1) 4,000-gallon and one (1) 10,000-gallon oil storage tanks which have been decommissioned and will no longer be used.</w:t>
      </w:r>
    </w:p>
    <w:p w14:paraId="43DE4D66" w14:textId="77777777" w:rsidR="001D7E96" w:rsidRDefault="001D7E96" w:rsidP="001D7E96">
      <w:pPr>
        <w:pStyle w:val="Title"/>
        <w:jc w:val="left"/>
        <w:rPr>
          <w:b w:val="0"/>
          <w:bCs w:val="0"/>
        </w:rPr>
      </w:pPr>
    </w:p>
    <w:p w14:paraId="424C221D" w14:textId="77777777" w:rsidR="001D7E96" w:rsidRDefault="001D7E96" w:rsidP="001D7E96">
      <w:pPr>
        <w:pStyle w:val="Title"/>
        <w:jc w:val="both"/>
        <w:rPr>
          <w:u w:val="single"/>
        </w:rPr>
      </w:pPr>
      <w:r>
        <w:rPr>
          <w:u w:val="single"/>
        </w:rPr>
        <w:t>EMISSION SUMMARY</w:t>
      </w:r>
    </w:p>
    <w:p w14:paraId="7DC58720" w14:textId="07525A0D" w:rsidR="001D7E96" w:rsidRDefault="00170EB2" w:rsidP="001D7E96">
      <w:pPr>
        <w:pStyle w:val="Title"/>
        <w:jc w:val="both"/>
        <w:rPr>
          <w:b w:val="0"/>
          <w:bCs w:val="0"/>
        </w:rPr>
      </w:pPr>
      <w:r>
        <w:rPr>
          <w:b w:val="0"/>
          <w:bCs w:val="0"/>
        </w:rPr>
        <w:t>Below is a table summarizing the facility’s maximum</w:t>
      </w:r>
      <w:r w:rsidR="00E10F35">
        <w:rPr>
          <w:b w:val="0"/>
          <w:bCs w:val="0"/>
        </w:rPr>
        <w:t xml:space="preserve"> (8760 operating hours per year)</w:t>
      </w:r>
      <w:r>
        <w:rPr>
          <w:b w:val="0"/>
          <w:bCs w:val="0"/>
        </w:rPr>
        <w:t xml:space="preserve"> emissions in tons per year:</w:t>
      </w:r>
    </w:p>
    <w:p w14:paraId="1DDDD99A" w14:textId="77777777" w:rsidR="00170EB2" w:rsidRDefault="00170EB2" w:rsidP="001D7E96">
      <w:pPr>
        <w:pStyle w:val="Title"/>
        <w:jc w:val="both"/>
        <w:rPr>
          <w:b w:val="0"/>
          <w:bCs w:val="0"/>
        </w:rPr>
      </w:pPr>
    </w:p>
    <w:tbl>
      <w:tblPr>
        <w:tblStyle w:val="TableGrid"/>
        <w:tblW w:w="0" w:type="auto"/>
        <w:tblLook w:val="04A0" w:firstRow="1" w:lastRow="0" w:firstColumn="1" w:lastColumn="0" w:noHBand="0" w:noVBand="1"/>
      </w:tblPr>
      <w:tblGrid>
        <w:gridCol w:w="1509"/>
        <w:gridCol w:w="977"/>
        <w:gridCol w:w="977"/>
        <w:gridCol w:w="987"/>
        <w:gridCol w:w="977"/>
        <w:gridCol w:w="977"/>
        <w:gridCol w:w="977"/>
        <w:gridCol w:w="975"/>
        <w:gridCol w:w="994"/>
      </w:tblGrid>
      <w:tr w:rsidR="0062600B" w14:paraId="6EEF210A" w14:textId="77777777" w:rsidTr="00921741">
        <w:tc>
          <w:tcPr>
            <w:tcW w:w="1064" w:type="dxa"/>
            <w:shd w:val="clear" w:color="auto" w:fill="D9D9D9" w:themeFill="background1" w:themeFillShade="D9"/>
            <w:vAlign w:val="center"/>
          </w:tcPr>
          <w:p w14:paraId="62F1AFE7" w14:textId="77777777" w:rsidR="00170EB2" w:rsidRPr="00921741" w:rsidRDefault="00170EB2" w:rsidP="00170EB2">
            <w:pPr>
              <w:pStyle w:val="Title"/>
            </w:pPr>
          </w:p>
        </w:tc>
        <w:tc>
          <w:tcPr>
            <w:tcW w:w="1064" w:type="dxa"/>
            <w:shd w:val="clear" w:color="auto" w:fill="D9D9D9" w:themeFill="background1" w:themeFillShade="D9"/>
            <w:vAlign w:val="center"/>
          </w:tcPr>
          <w:p w14:paraId="6CF60B47" w14:textId="77777777" w:rsidR="00170EB2" w:rsidRPr="00921741" w:rsidRDefault="00170EB2" w:rsidP="00170EB2">
            <w:pPr>
              <w:pStyle w:val="Title"/>
            </w:pPr>
            <w:r w:rsidRPr="00921741">
              <w:t>PM</w:t>
            </w:r>
          </w:p>
        </w:tc>
        <w:tc>
          <w:tcPr>
            <w:tcW w:w="1064" w:type="dxa"/>
            <w:shd w:val="clear" w:color="auto" w:fill="D9D9D9" w:themeFill="background1" w:themeFillShade="D9"/>
            <w:vAlign w:val="center"/>
          </w:tcPr>
          <w:p w14:paraId="361BA53E" w14:textId="77777777" w:rsidR="00170EB2" w:rsidRPr="00921741" w:rsidRDefault="00170EB2" w:rsidP="00170EB2">
            <w:pPr>
              <w:pStyle w:val="Title"/>
            </w:pPr>
            <w:r w:rsidRPr="00921741">
              <w:t>PM</w:t>
            </w:r>
            <w:r w:rsidRPr="00921741">
              <w:rPr>
                <w:vertAlign w:val="subscript"/>
              </w:rPr>
              <w:t>10</w:t>
            </w:r>
          </w:p>
        </w:tc>
        <w:tc>
          <w:tcPr>
            <w:tcW w:w="1064" w:type="dxa"/>
            <w:shd w:val="clear" w:color="auto" w:fill="D9D9D9" w:themeFill="background1" w:themeFillShade="D9"/>
            <w:vAlign w:val="center"/>
          </w:tcPr>
          <w:p w14:paraId="5D9F1E81" w14:textId="77777777" w:rsidR="00170EB2" w:rsidRPr="00921741" w:rsidRDefault="00170EB2" w:rsidP="00170EB2">
            <w:pPr>
              <w:pStyle w:val="Title"/>
            </w:pPr>
            <w:r w:rsidRPr="00921741">
              <w:t>PM</w:t>
            </w:r>
            <w:r w:rsidRPr="00921741">
              <w:rPr>
                <w:vertAlign w:val="subscript"/>
              </w:rPr>
              <w:t>2.5</w:t>
            </w:r>
          </w:p>
        </w:tc>
        <w:tc>
          <w:tcPr>
            <w:tcW w:w="1064" w:type="dxa"/>
            <w:shd w:val="clear" w:color="auto" w:fill="D9D9D9" w:themeFill="background1" w:themeFillShade="D9"/>
            <w:vAlign w:val="center"/>
          </w:tcPr>
          <w:p w14:paraId="3C6212AE" w14:textId="77777777" w:rsidR="00170EB2" w:rsidRPr="00921741" w:rsidRDefault="00170EB2" w:rsidP="00170EB2">
            <w:pPr>
              <w:pStyle w:val="Title"/>
            </w:pPr>
            <w:r w:rsidRPr="00921741">
              <w:t>SO</w:t>
            </w:r>
            <w:r w:rsidRPr="00921741">
              <w:rPr>
                <w:vertAlign w:val="subscript"/>
              </w:rPr>
              <w:t>2</w:t>
            </w:r>
          </w:p>
        </w:tc>
        <w:tc>
          <w:tcPr>
            <w:tcW w:w="1064" w:type="dxa"/>
            <w:shd w:val="clear" w:color="auto" w:fill="D9D9D9" w:themeFill="background1" w:themeFillShade="D9"/>
            <w:vAlign w:val="center"/>
          </w:tcPr>
          <w:p w14:paraId="1973728F" w14:textId="77777777" w:rsidR="00170EB2" w:rsidRPr="00921741" w:rsidRDefault="00170EB2" w:rsidP="00170EB2">
            <w:pPr>
              <w:pStyle w:val="Title"/>
            </w:pPr>
            <w:r w:rsidRPr="00921741">
              <w:t>NO</w:t>
            </w:r>
            <w:r w:rsidRPr="00921741">
              <w:rPr>
                <w:vertAlign w:val="subscript"/>
              </w:rPr>
              <w:t>x</w:t>
            </w:r>
          </w:p>
        </w:tc>
        <w:tc>
          <w:tcPr>
            <w:tcW w:w="1064" w:type="dxa"/>
            <w:shd w:val="clear" w:color="auto" w:fill="D9D9D9" w:themeFill="background1" w:themeFillShade="D9"/>
            <w:vAlign w:val="center"/>
          </w:tcPr>
          <w:p w14:paraId="7CFE8727" w14:textId="77777777" w:rsidR="00170EB2" w:rsidRPr="00921741" w:rsidRDefault="00170EB2" w:rsidP="00170EB2">
            <w:pPr>
              <w:pStyle w:val="Title"/>
            </w:pPr>
            <w:r w:rsidRPr="00921741">
              <w:t>CO</w:t>
            </w:r>
          </w:p>
        </w:tc>
        <w:tc>
          <w:tcPr>
            <w:tcW w:w="1064" w:type="dxa"/>
            <w:shd w:val="clear" w:color="auto" w:fill="D9D9D9" w:themeFill="background1" w:themeFillShade="D9"/>
            <w:vAlign w:val="center"/>
          </w:tcPr>
          <w:p w14:paraId="4B93CDA4" w14:textId="77777777" w:rsidR="00170EB2" w:rsidRPr="00921741" w:rsidRDefault="00170EB2" w:rsidP="00170EB2">
            <w:pPr>
              <w:pStyle w:val="Title"/>
            </w:pPr>
            <w:r w:rsidRPr="00921741">
              <w:t>VOC</w:t>
            </w:r>
          </w:p>
        </w:tc>
        <w:tc>
          <w:tcPr>
            <w:tcW w:w="1064" w:type="dxa"/>
            <w:shd w:val="clear" w:color="auto" w:fill="D9D9D9" w:themeFill="background1" w:themeFillShade="D9"/>
            <w:vAlign w:val="center"/>
          </w:tcPr>
          <w:p w14:paraId="0044EAC4" w14:textId="77777777" w:rsidR="00170EB2" w:rsidRPr="00921741" w:rsidRDefault="00170EB2" w:rsidP="00170EB2">
            <w:pPr>
              <w:pStyle w:val="Title"/>
            </w:pPr>
            <w:r w:rsidRPr="00921741">
              <w:t>Total HAPs</w:t>
            </w:r>
          </w:p>
        </w:tc>
      </w:tr>
      <w:tr w:rsidR="0062600B" w14:paraId="745F4C01" w14:textId="77777777" w:rsidTr="00921741">
        <w:tc>
          <w:tcPr>
            <w:tcW w:w="1064" w:type="dxa"/>
            <w:shd w:val="clear" w:color="auto" w:fill="D9D9D9" w:themeFill="background1" w:themeFillShade="D9"/>
            <w:vAlign w:val="center"/>
          </w:tcPr>
          <w:p w14:paraId="66D3738B" w14:textId="77777777" w:rsidR="00170EB2" w:rsidRPr="00921741" w:rsidRDefault="00170EB2" w:rsidP="00170EB2">
            <w:pPr>
              <w:pStyle w:val="Title"/>
            </w:pPr>
            <w:r w:rsidRPr="00921741">
              <w:t>AA-001</w:t>
            </w:r>
          </w:p>
          <w:p w14:paraId="59048DE9" w14:textId="77777777" w:rsidR="00921741" w:rsidRPr="00921741" w:rsidRDefault="00921741" w:rsidP="00170EB2">
            <w:pPr>
              <w:pStyle w:val="Title"/>
            </w:pPr>
            <w:r w:rsidRPr="00921741">
              <w:t>(standby generators)</w:t>
            </w:r>
          </w:p>
        </w:tc>
        <w:tc>
          <w:tcPr>
            <w:tcW w:w="1064" w:type="dxa"/>
            <w:vAlign w:val="center"/>
          </w:tcPr>
          <w:p w14:paraId="1EC50B7F" w14:textId="77777777" w:rsidR="00170EB2" w:rsidRDefault="00170EB2" w:rsidP="00170EB2">
            <w:pPr>
              <w:pStyle w:val="Title"/>
              <w:rPr>
                <w:b w:val="0"/>
                <w:bCs w:val="0"/>
              </w:rPr>
            </w:pPr>
            <w:r>
              <w:rPr>
                <w:b w:val="0"/>
                <w:bCs w:val="0"/>
              </w:rPr>
              <w:t>11.4</w:t>
            </w:r>
          </w:p>
        </w:tc>
        <w:tc>
          <w:tcPr>
            <w:tcW w:w="1064" w:type="dxa"/>
            <w:vAlign w:val="center"/>
          </w:tcPr>
          <w:p w14:paraId="0856D78A" w14:textId="77777777" w:rsidR="00170EB2" w:rsidRDefault="00170EB2" w:rsidP="00170EB2">
            <w:pPr>
              <w:pStyle w:val="Title"/>
              <w:rPr>
                <w:b w:val="0"/>
                <w:bCs w:val="0"/>
              </w:rPr>
            </w:pPr>
            <w:r>
              <w:rPr>
                <w:b w:val="0"/>
                <w:bCs w:val="0"/>
              </w:rPr>
              <w:t>9.31</w:t>
            </w:r>
          </w:p>
        </w:tc>
        <w:tc>
          <w:tcPr>
            <w:tcW w:w="1064" w:type="dxa"/>
            <w:vAlign w:val="center"/>
          </w:tcPr>
          <w:p w14:paraId="069778CB" w14:textId="77777777" w:rsidR="00170EB2" w:rsidRDefault="00170EB2" w:rsidP="00170EB2">
            <w:pPr>
              <w:pStyle w:val="Title"/>
              <w:rPr>
                <w:b w:val="0"/>
                <w:bCs w:val="0"/>
              </w:rPr>
            </w:pPr>
            <w:r>
              <w:rPr>
                <w:b w:val="0"/>
                <w:bCs w:val="0"/>
              </w:rPr>
              <w:t>9.31</w:t>
            </w:r>
          </w:p>
        </w:tc>
        <w:tc>
          <w:tcPr>
            <w:tcW w:w="1064" w:type="dxa"/>
            <w:vAlign w:val="center"/>
          </w:tcPr>
          <w:p w14:paraId="7C01A4F0" w14:textId="77777777" w:rsidR="00170EB2" w:rsidRDefault="00170EB2" w:rsidP="00170EB2">
            <w:pPr>
              <w:pStyle w:val="Title"/>
              <w:rPr>
                <w:b w:val="0"/>
                <w:bCs w:val="0"/>
              </w:rPr>
            </w:pPr>
            <w:r>
              <w:rPr>
                <w:b w:val="0"/>
                <w:bCs w:val="0"/>
              </w:rPr>
              <w:t>0.25</w:t>
            </w:r>
          </w:p>
        </w:tc>
        <w:tc>
          <w:tcPr>
            <w:tcW w:w="1064" w:type="dxa"/>
            <w:vAlign w:val="center"/>
          </w:tcPr>
          <w:p w14:paraId="662176EF" w14:textId="77777777" w:rsidR="00170EB2" w:rsidRDefault="00170EB2" w:rsidP="00170EB2">
            <w:pPr>
              <w:pStyle w:val="Title"/>
              <w:rPr>
                <w:b w:val="0"/>
                <w:bCs w:val="0"/>
              </w:rPr>
            </w:pPr>
            <w:r>
              <w:rPr>
                <w:b w:val="0"/>
                <w:bCs w:val="0"/>
              </w:rPr>
              <w:t>523</w:t>
            </w:r>
          </w:p>
        </w:tc>
        <w:tc>
          <w:tcPr>
            <w:tcW w:w="1064" w:type="dxa"/>
            <w:vAlign w:val="center"/>
          </w:tcPr>
          <w:p w14:paraId="2CDC9075" w14:textId="77777777" w:rsidR="00170EB2" w:rsidRDefault="00170EB2" w:rsidP="00170EB2">
            <w:pPr>
              <w:pStyle w:val="Title"/>
              <w:rPr>
                <w:b w:val="0"/>
                <w:bCs w:val="0"/>
              </w:rPr>
            </w:pPr>
            <w:r>
              <w:rPr>
                <w:b w:val="0"/>
                <w:bCs w:val="0"/>
              </w:rPr>
              <w:t>41.7</w:t>
            </w:r>
          </w:p>
        </w:tc>
        <w:tc>
          <w:tcPr>
            <w:tcW w:w="1064" w:type="dxa"/>
            <w:vAlign w:val="center"/>
          </w:tcPr>
          <w:p w14:paraId="249EA5FB" w14:textId="77777777" w:rsidR="00170EB2" w:rsidRDefault="00170EB2" w:rsidP="00170EB2">
            <w:pPr>
              <w:pStyle w:val="Title"/>
              <w:rPr>
                <w:b w:val="0"/>
                <w:bCs w:val="0"/>
              </w:rPr>
            </w:pPr>
            <w:r>
              <w:rPr>
                <w:b w:val="0"/>
                <w:bCs w:val="0"/>
              </w:rPr>
              <w:t>4.41</w:t>
            </w:r>
          </w:p>
        </w:tc>
        <w:tc>
          <w:tcPr>
            <w:tcW w:w="1064" w:type="dxa"/>
            <w:vAlign w:val="center"/>
          </w:tcPr>
          <w:p w14:paraId="755260FA" w14:textId="77777777" w:rsidR="00170EB2" w:rsidRDefault="00170EB2" w:rsidP="00170EB2">
            <w:pPr>
              <w:pStyle w:val="Title"/>
              <w:rPr>
                <w:b w:val="0"/>
                <w:bCs w:val="0"/>
              </w:rPr>
            </w:pPr>
            <w:r>
              <w:rPr>
                <w:b w:val="0"/>
                <w:bCs w:val="0"/>
              </w:rPr>
              <w:t>0.13</w:t>
            </w:r>
          </w:p>
        </w:tc>
      </w:tr>
      <w:tr w:rsidR="0062600B" w14:paraId="145B3DF3" w14:textId="77777777" w:rsidTr="00921741">
        <w:tc>
          <w:tcPr>
            <w:tcW w:w="1064" w:type="dxa"/>
            <w:shd w:val="clear" w:color="auto" w:fill="D9D9D9" w:themeFill="background1" w:themeFillShade="D9"/>
            <w:vAlign w:val="center"/>
          </w:tcPr>
          <w:p w14:paraId="06F3C5DE" w14:textId="77777777" w:rsidR="00170EB2" w:rsidRPr="00921741" w:rsidRDefault="00170EB2" w:rsidP="00170EB2">
            <w:pPr>
              <w:pStyle w:val="Title"/>
            </w:pPr>
            <w:r w:rsidRPr="00921741">
              <w:t>AA-002</w:t>
            </w:r>
          </w:p>
          <w:p w14:paraId="50FA80BB" w14:textId="77777777" w:rsidR="00921741" w:rsidRPr="00921741" w:rsidRDefault="00921741" w:rsidP="00170EB2">
            <w:pPr>
              <w:pStyle w:val="Title"/>
            </w:pPr>
            <w:r w:rsidRPr="00921741">
              <w:t>(part washers)</w:t>
            </w:r>
          </w:p>
        </w:tc>
        <w:tc>
          <w:tcPr>
            <w:tcW w:w="1064" w:type="dxa"/>
            <w:vAlign w:val="center"/>
          </w:tcPr>
          <w:p w14:paraId="352970C8" w14:textId="77777777" w:rsidR="00170EB2" w:rsidRDefault="00170EB2" w:rsidP="00170EB2">
            <w:pPr>
              <w:pStyle w:val="Title"/>
              <w:rPr>
                <w:b w:val="0"/>
                <w:bCs w:val="0"/>
              </w:rPr>
            </w:pPr>
            <w:r>
              <w:rPr>
                <w:b w:val="0"/>
                <w:bCs w:val="0"/>
              </w:rPr>
              <w:t>0.10</w:t>
            </w:r>
          </w:p>
        </w:tc>
        <w:tc>
          <w:tcPr>
            <w:tcW w:w="1064" w:type="dxa"/>
            <w:vAlign w:val="center"/>
          </w:tcPr>
          <w:p w14:paraId="11D8833F" w14:textId="77777777" w:rsidR="00170EB2" w:rsidRDefault="00170EB2" w:rsidP="00170EB2">
            <w:pPr>
              <w:pStyle w:val="Title"/>
              <w:rPr>
                <w:b w:val="0"/>
                <w:bCs w:val="0"/>
              </w:rPr>
            </w:pPr>
            <w:r>
              <w:rPr>
                <w:b w:val="0"/>
                <w:bCs w:val="0"/>
              </w:rPr>
              <w:t>0.01</w:t>
            </w:r>
          </w:p>
        </w:tc>
        <w:tc>
          <w:tcPr>
            <w:tcW w:w="1064" w:type="dxa"/>
            <w:vAlign w:val="center"/>
          </w:tcPr>
          <w:p w14:paraId="3A2FD284" w14:textId="77777777" w:rsidR="00170EB2" w:rsidRDefault="00170EB2" w:rsidP="00170EB2">
            <w:pPr>
              <w:pStyle w:val="Title"/>
              <w:rPr>
                <w:b w:val="0"/>
                <w:bCs w:val="0"/>
              </w:rPr>
            </w:pPr>
            <w:r>
              <w:rPr>
                <w:b w:val="0"/>
                <w:bCs w:val="0"/>
              </w:rPr>
              <w:t>0.01</w:t>
            </w:r>
          </w:p>
        </w:tc>
        <w:tc>
          <w:tcPr>
            <w:tcW w:w="1064" w:type="dxa"/>
            <w:vAlign w:val="center"/>
          </w:tcPr>
          <w:p w14:paraId="57ABE87F" w14:textId="77777777" w:rsidR="00170EB2" w:rsidRDefault="00170EB2" w:rsidP="00170EB2">
            <w:pPr>
              <w:pStyle w:val="Title"/>
              <w:rPr>
                <w:b w:val="0"/>
                <w:bCs w:val="0"/>
              </w:rPr>
            </w:pPr>
            <w:r>
              <w:rPr>
                <w:b w:val="0"/>
                <w:bCs w:val="0"/>
              </w:rPr>
              <w:t>0.01</w:t>
            </w:r>
          </w:p>
        </w:tc>
        <w:tc>
          <w:tcPr>
            <w:tcW w:w="1064" w:type="dxa"/>
            <w:vAlign w:val="center"/>
          </w:tcPr>
          <w:p w14:paraId="7903221B" w14:textId="77777777" w:rsidR="00170EB2" w:rsidRDefault="00170EB2" w:rsidP="00170EB2">
            <w:pPr>
              <w:pStyle w:val="Title"/>
              <w:rPr>
                <w:b w:val="0"/>
                <w:bCs w:val="0"/>
              </w:rPr>
            </w:pPr>
            <w:r>
              <w:rPr>
                <w:b w:val="0"/>
                <w:bCs w:val="0"/>
              </w:rPr>
              <w:t>1.31</w:t>
            </w:r>
          </w:p>
        </w:tc>
        <w:tc>
          <w:tcPr>
            <w:tcW w:w="1064" w:type="dxa"/>
            <w:vAlign w:val="center"/>
          </w:tcPr>
          <w:p w14:paraId="08405B13" w14:textId="77777777" w:rsidR="00170EB2" w:rsidRDefault="00170EB2" w:rsidP="00170EB2">
            <w:pPr>
              <w:pStyle w:val="Title"/>
              <w:rPr>
                <w:b w:val="0"/>
                <w:bCs w:val="0"/>
              </w:rPr>
            </w:pPr>
            <w:r>
              <w:rPr>
                <w:b w:val="0"/>
                <w:bCs w:val="0"/>
              </w:rPr>
              <w:t>1.10</w:t>
            </w:r>
          </w:p>
        </w:tc>
        <w:tc>
          <w:tcPr>
            <w:tcW w:w="1064" w:type="dxa"/>
            <w:vAlign w:val="center"/>
          </w:tcPr>
          <w:p w14:paraId="27F2A5B8" w14:textId="77777777" w:rsidR="00170EB2" w:rsidRDefault="00170EB2" w:rsidP="00170EB2">
            <w:pPr>
              <w:pStyle w:val="Title"/>
              <w:rPr>
                <w:b w:val="0"/>
                <w:bCs w:val="0"/>
              </w:rPr>
            </w:pPr>
            <w:r>
              <w:rPr>
                <w:b w:val="0"/>
                <w:bCs w:val="0"/>
              </w:rPr>
              <w:t>1.48</w:t>
            </w:r>
          </w:p>
        </w:tc>
        <w:tc>
          <w:tcPr>
            <w:tcW w:w="1064" w:type="dxa"/>
            <w:vAlign w:val="center"/>
          </w:tcPr>
          <w:p w14:paraId="22CC5811" w14:textId="77777777" w:rsidR="00170EB2" w:rsidRDefault="00170EB2" w:rsidP="00170EB2">
            <w:pPr>
              <w:pStyle w:val="Title"/>
              <w:rPr>
                <w:b w:val="0"/>
                <w:bCs w:val="0"/>
              </w:rPr>
            </w:pPr>
            <w:r>
              <w:rPr>
                <w:b w:val="0"/>
                <w:bCs w:val="0"/>
              </w:rPr>
              <w:t>0.025</w:t>
            </w:r>
          </w:p>
        </w:tc>
      </w:tr>
      <w:tr w:rsidR="0062600B" w14:paraId="37228224" w14:textId="77777777" w:rsidTr="00921741">
        <w:tc>
          <w:tcPr>
            <w:tcW w:w="1064" w:type="dxa"/>
            <w:shd w:val="clear" w:color="auto" w:fill="D9D9D9" w:themeFill="background1" w:themeFillShade="D9"/>
            <w:vAlign w:val="center"/>
          </w:tcPr>
          <w:p w14:paraId="0B64487B" w14:textId="77777777" w:rsidR="00170EB2" w:rsidRPr="00921741" w:rsidRDefault="00170EB2" w:rsidP="00170EB2">
            <w:pPr>
              <w:pStyle w:val="Title"/>
            </w:pPr>
            <w:r w:rsidRPr="00921741">
              <w:t>AA-003</w:t>
            </w:r>
          </w:p>
          <w:p w14:paraId="213D48D0" w14:textId="77777777" w:rsidR="00921741" w:rsidRPr="00921741" w:rsidRDefault="00921741" w:rsidP="00170EB2">
            <w:pPr>
              <w:pStyle w:val="Title"/>
            </w:pPr>
            <w:r w:rsidRPr="00921741">
              <w:t>(evaporator)</w:t>
            </w:r>
          </w:p>
        </w:tc>
        <w:tc>
          <w:tcPr>
            <w:tcW w:w="1064" w:type="dxa"/>
            <w:vAlign w:val="center"/>
          </w:tcPr>
          <w:p w14:paraId="471F1AE5" w14:textId="77777777" w:rsidR="00170EB2" w:rsidRDefault="00170EB2" w:rsidP="00170EB2">
            <w:pPr>
              <w:pStyle w:val="Title"/>
              <w:rPr>
                <w:b w:val="0"/>
                <w:bCs w:val="0"/>
              </w:rPr>
            </w:pPr>
            <w:r>
              <w:rPr>
                <w:b w:val="0"/>
                <w:bCs w:val="0"/>
              </w:rPr>
              <w:t>0.025</w:t>
            </w:r>
          </w:p>
        </w:tc>
        <w:tc>
          <w:tcPr>
            <w:tcW w:w="1064" w:type="dxa"/>
            <w:vAlign w:val="center"/>
          </w:tcPr>
          <w:p w14:paraId="0F579A09" w14:textId="77777777" w:rsidR="00170EB2" w:rsidRDefault="00170EB2" w:rsidP="00170EB2">
            <w:pPr>
              <w:pStyle w:val="Title"/>
              <w:rPr>
                <w:b w:val="0"/>
                <w:bCs w:val="0"/>
              </w:rPr>
            </w:pPr>
            <w:r>
              <w:rPr>
                <w:b w:val="0"/>
                <w:bCs w:val="0"/>
              </w:rPr>
              <w:t>0.002</w:t>
            </w:r>
          </w:p>
        </w:tc>
        <w:tc>
          <w:tcPr>
            <w:tcW w:w="1064" w:type="dxa"/>
            <w:vAlign w:val="center"/>
          </w:tcPr>
          <w:p w14:paraId="2EBD12C1" w14:textId="77777777" w:rsidR="00170EB2" w:rsidRDefault="00170EB2" w:rsidP="00170EB2">
            <w:pPr>
              <w:pStyle w:val="Title"/>
              <w:rPr>
                <w:b w:val="0"/>
                <w:bCs w:val="0"/>
              </w:rPr>
            </w:pPr>
            <w:r>
              <w:rPr>
                <w:b w:val="0"/>
                <w:bCs w:val="0"/>
              </w:rPr>
              <w:t>0.001</w:t>
            </w:r>
          </w:p>
        </w:tc>
        <w:tc>
          <w:tcPr>
            <w:tcW w:w="1064" w:type="dxa"/>
            <w:vAlign w:val="center"/>
          </w:tcPr>
          <w:p w14:paraId="26853488" w14:textId="77777777" w:rsidR="00170EB2" w:rsidRDefault="00170EB2" w:rsidP="00170EB2">
            <w:pPr>
              <w:pStyle w:val="Title"/>
              <w:rPr>
                <w:b w:val="0"/>
                <w:bCs w:val="0"/>
              </w:rPr>
            </w:pPr>
            <w:r>
              <w:rPr>
                <w:b w:val="0"/>
                <w:bCs w:val="0"/>
              </w:rPr>
              <w:t>0.002</w:t>
            </w:r>
          </w:p>
        </w:tc>
        <w:tc>
          <w:tcPr>
            <w:tcW w:w="1064" w:type="dxa"/>
            <w:vAlign w:val="center"/>
          </w:tcPr>
          <w:p w14:paraId="5F3D04A5" w14:textId="77777777" w:rsidR="00170EB2" w:rsidRDefault="00170EB2" w:rsidP="00170EB2">
            <w:pPr>
              <w:pStyle w:val="Title"/>
              <w:rPr>
                <w:b w:val="0"/>
                <w:bCs w:val="0"/>
              </w:rPr>
            </w:pPr>
            <w:r>
              <w:rPr>
                <w:b w:val="0"/>
                <w:bCs w:val="0"/>
              </w:rPr>
              <w:t>0.329</w:t>
            </w:r>
          </w:p>
        </w:tc>
        <w:tc>
          <w:tcPr>
            <w:tcW w:w="1064" w:type="dxa"/>
            <w:vAlign w:val="center"/>
          </w:tcPr>
          <w:p w14:paraId="42E81378" w14:textId="77777777" w:rsidR="00170EB2" w:rsidRDefault="00170EB2" w:rsidP="00170EB2">
            <w:pPr>
              <w:pStyle w:val="Title"/>
              <w:rPr>
                <w:b w:val="0"/>
                <w:bCs w:val="0"/>
              </w:rPr>
            </w:pPr>
            <w:r>
              <w:rPr>
                <w:b w:val="0"/>
                <w:bCs w:val="0"/>
              </w:rPr>
              <w:t>0.276</w:t>
            </w:r>
          </w:p>
        </w:tc>
        <w:tc>
          <w:tcPr>
            <w:tcW w:w="1064" w:type="dxa"/>
            <w:vAlign w:val="center"/>
          </w:tcPr>
          <w:p w14:paraId="5C3FC127" w14:textId="77777777" w:rsidR="00170EB2" w:rsidRDefault="00170EB2" w:rsidP="00170EB2">
            <w:pPr>
              <w:pStyle w:val="Title"/>
              <w:rPr>
                <w:b w:val="0"/>
                <w:bCs w:val="0"/>
              </w:rPr>
            </w:pPr>
            <w:r>
              <w:rPr>
                <w:b w:val="0"/>
                <w:bCs w:val="0"/>
              </w:rPr>
              <w:t>15.1</w:t>
            </w:r>
          </w:p>
        </w:tc>
        <w:tc>
          <w:tcPr>
            <w:tcW w:w="1064" w:type="dxa"/>
            <w:vAlign w:val="center"/>
          </w:tcPr>
          <w:p w14:paraId="14E1D7DA" w14:textId="77777777" w:rsidR="00170EB2" w:rsidRDefault="00170EB2" w:rsidP="00170EB2">
            <w:pPr>
              <w:pStyle w:val="Title"/>
              <w:rPr>
                <w:b w:val="0"/>
                <w:bCs w:val="0"/>
              </w:rPr>
            </w:pPr>
            <w:r>
              <w:rPr>
                <w:b w:val="0"/>
                <w:bCs w:val="0"/>
              </w:rPr>
              <w:t>0.006</w:t>
            </w:r>
          </w:p>
        </w:tc>
      </w:tr>
      <w:tr w:rsidR="0062600B" w14:paraId="330FC014" w14:textId="77777777" w:rsidTr="00921741">
        <w:tc>
          <w:tcPr>
            <w:tcW w:w="1064" w:type="dxa"/>
            <w:shd w:val="clear" w:color="auto" w:fill="D9D9D9" w:themeFill="background1" w:themeFillShade="D9"/>
            <w:vAlign w:val="center"/>
          </w:tcPr>
          <w:p w14:paraId="41E75E8B" w14:textId="77777777" w:rsidR="00170EB2" w:rsidRPr="00921741" w:rsidRDefault="00170EB2" w:rsidP="00170EB2">
            <w:pPr>
              <w:pStyle w:val="Title"/>
            </w:pPr>
            <w:r w:rsidRPr="00921741">
              <w:t>Facility-Wide</w:t>
            </w:r>
            <w:r w:rsidR="00921741" w:rsidRPr="00921741">
              <w:t xml:space="preserve"> Total</w:t>
            </w:r>
          </w:p>
        </w:tc>
        <w:tc>
          <w:tcPr>
            <w:tcW w:w="1064" w:type="dxa"/>
            <w:vAlign w:val="center"/>
          </w:tcPr>
          <w:p w14:paraId="6422CE90" w14:textId="77777777" w:rsidR="00170EB2" w:rsidRDefault="00170EB2" w:rsidP="00170EB2">
            <w:pPr>
              <w:pStyle w:val="Title"/>
              <w:rPr>
                <w:b w:val="0"/>
                <w:bCs w:val="0"/>
              </w:rPr>
            </w:pPr>
            <w:r>
              <w:rPr>
                <w:b w:val="0"/>
                <w:bCs w:val="0"/>
              </w:rPr>
              <w:t>11.5</w:t>
            </w:r>
          </w:p>
        </w:tc>
        <w:tc>
          <w:tcPr>
            <w:tcW w:w="1064" w:type="dxa"/>
            <w:vAlign w:val="center"/>
          </w:tcPr>
          <w:p w14:paraId="265B62E0" w14:textId="77777777" w:rsidR="00170EB2" w:rsidRDefault="00170EB2" w:rsidP="00170EB2">
            <w:pPr>
              <w:pStyle w:val="Title"/>
              <w:rPr>
                <w:b w:val="0"/>
                <w:bCs w:val="0"/>
              </w:rPr>
            </w:pPr>
            <w:r>
              <w:rPr>
                <w:b w:val="0"/>
                <w:bCs w:val="0"/>
              </w:rPr>
              <w:t>9.32</w:t>
            </w:r>
          </w:p>
        </w:tc>
        <w:tc>
          <w:tcPr>
            <w:tcW w:w="1064" w:type="dxa"/>
            <w:vAlign w:val="center"/>
          </w:tcPr>
          <w:p w14:paraId="1AECE8D2" w14:textId="77777777" w:rsidR="00170EB2" w:rsidRDefault="00170EB2" w:rsidP="00170EB2">
            <w:pPr>
              <w:pStyle w:val="Title"/>
              <w:rPr>
                <w:b w:val="0"/>
                <w:bCs w:val="0"/>
              </w:rPr>
            </w:pPr>
            <w:r>
              <w:rPr>
                <w:b w:val="0"/>
                <w:bCs w:val="0"/>
              </w:rPr>
              <w:t>9.32</w:t>
            </w:r>
          </w:p>
        </w:tc>
        <w:tc>
          <w:tcPr>
            <w:tcW w:w="1064" w:type="dxa"/>
            <w:vAlign w:val="center"/>
          </w:tcPr>
          <w:p w14:paraId="0DAC71AC" w14:textId="77777777" w:rsidR="00170EB2" w:rsidRDefault="00170EB2" w:rsidP="00170EB2">
            <w:pPr>
              <w:pStyle w:val="Title"/>
              <w:rPr>
                <w:b w:val="0"/>
                <w:bCs w:val="0"/>
              </w:rPr>
            </w:pPr>
            <w:r>
              <w:rPr>
                <w:b w:val="0"/>
                <w:bCs w:val="0"/>
              </w:rPr>
              <w:t>0.26</w:t>
            </w:r>
          </w:p>
        </w:tc>
        <w:tc>
          <w:tcPr>
            <w:tcW w:w="1064" w:type="dxa"/>
            <w:vAlign w:val="center"/>
          </w:tcPr>
          <w:p w14:paraId="2B917B7F" w14:textId="77777777" w:rsidR="00170EB2" w:rsidRDefault="00170EB2" w:rsidP="00170EB2">
            <w:pPr>
              <w:pStyle w:val="Title"/>
              <w:rPr>
                <w:b w:val="0"/>
                <w:bCs w:val="0"/>
              </w:rPr>
            </w:pPr>
            <w:r>
              <w:rPr>
                <w:b w:val="0"/>
                <w:bCs w:val="0"/>
              </w:rPr>
              <w:t>524</w:t>
            </w:r>
          </w:p>
        </w:tc>
        <w:tc>
          <w:tcPr>
            <w:tcW w:w="1064" w:type="dxa"/>
            <w:vAlign w:val="center"/>
          </w:tcPr>
          <w:p w14:paraId="073B90D4" w14:textId="77777777" w:rsidR="00170EB2" w:rsidRDefault="00170EB2" w:rsidP="00170EB2">
            <w:pPr>
              <w:pStyle w:val="Title"/>
              <w:rPr>
                <w:b w:val="0"/>
                <w:bCs w:val="0"/>
              </w:rPr>
            </w:pPr>
            <w:r>
              <w:rPr>
                <w:b w:val="0"/>
                <w:bCs w:val="0"/>
              </w:rPr>
              <w:t>43.0</w:t>
            </w:r>
          </w:p>
        </w:tc>
        <w:tc>
          <w:tcPr>
            <w:tcW w:w="1064" w:type="dxa"/>
            <w:vAlign w:val="center"/>
          </w:tcPr>
          <w:p w14:paraId="132FD8C1" w14:textId="77777777" w:rsidR="00170EB2" w:rsidRDefault="00170EB2" w:rsidP="00170EB2">
            <w:pPr>
              <w:pStyle w:val="Title"/>
              <w:rPr>
                <w:b w:val="0"/>
                <w:bCs w:val="0"/>
              </w:rPr>
            </w:pPr>
            <w:r>
              <w:rPr>
                <w:b w:val="0"/>
                <w:bCs w:val="0"/>
              </w:rPr>
              <w:t>21.0</w:t>
            </w:r>
          </w:p>
        </w:tc>
        <w:tc>
          <w:tcPr>
            <w:tcW w:w="1064" w:type="dxa"/>
            <w:vAlign w:val="center"/>
          </w:tcPr>
          <w:p w14:paraId="2D9B1F62" w14:textId="77777777" w:rsidR="00170EB2" w:rsidRDefault="00170EB2" w:rsidP="00170EB2">
            <w:pPr>
              <w:pStyle w:val="Title"/>
              <w:rPr>
                <w:b w:val="0"/>
                <w:bCs w:val="0"/>
              </w:rPr>
            </w:pPr>
            <w:r>
              <w:rPr>
                <w:b w:val="0"/>
                <w:bCs w:val="0"/>
              </w:rPr>
              <w:t>0.16</w:t>
            </w:r>
          </w:p>
        </w:tc>
      </w:tr>
      <w:tr w:rsidR="0062600B" w14:paraId="653E1947" w14:textId="77777777" w:rsidTr="00921741">
        <w:tc>
          <w:tcPr>
            <w:tcW w:w="1064" w:type="dxa"/>
            <w:shd w:val="clear" w:color="auto" w:fill="D9D9D9" w:themeFill="background1" w:themeFillShade="D9"/>
            <w:vAlign w:val="center"/>
          </w:tcPr>
          <w:p w14:paraId="6823FE80" w14:textId="77777777" w:rsidR="00170EB2" w:rsidRDefault="0062600B" w:rsidP="00170EB2">
            <w:pPr>
              <w:pStyle w:val="Title"/>
            </w:pPr>
            <w:r>
              <w:t xml:space="preserve">Title V Major Source Avoidance </w:t>
            </w:r>
            <w:r w:rsidR="00170EB2" w:rsidRPr="00921741">
              <w:t>Limitations</w:t>
            </w:r>
          </w:p>
          <w:p w14:paraId="7E48920F" w14:textId="221E40AF" w:rsidR="00442B8A" w:rsidRPr="00921741" w:rsidRDefault="00442B8A" w:rsidP="00170EB2">
            <w:pPr>
              <w:pStyle w:val="Title"/>
            </w:pPr>
            <w:r>
              <w:t>(AA-001 only)</w:t>
            </w:r>
          </w:p>
        </w:tc>
        <w:tc>
          <w:tcPr>
            <w:tcW w:w="1064" w:type="dxa"/>
            <w:vAlign w:val="center"/>
          </w:tcPr>
          <w:p w14:paraId="41183EA3" w14:textId="77777777" w:rsidR="00170EB2" w:rsidRDefault="00170EB2" w:rsidP="00170EB2">
            <w:pPr>
              <w:pStyle w:val="Title"/>
              <w:rPr>
                <w:b w:val="0"/>
                <w:bCs w:val="0"/>
              </w:rPr>
            </w:pPr>
            <w:r>
              <w:rPr>
                <w:b w:val="0"/>
                <w:bCs w:val="0"/>
              </w:rPr>
              <w:t>—</w:t>
            </w:r>
          </w:p>
        </w:tc>
        <w:tc>
          <w:tcPr>
            <w:tcW w:w="1064" w:type="dxa"/>
            <w:vAlign w:val="center"/>
          </w:tcPr>
          <w:p w14:paraId="5A27D059" w14:textId="77777777" w:rsidR="00170EB2" w:rsidRDefault="00170EB2" w:rsidP="00170EB2">
            <w:pPr>
              <w:pStyle w:val="Title"/>
              <w:rPr>
                <w:b w:val="0"/>
                <w:bCs w:val="0"/>
              </w:rPr>
            </w:pPr>
            <w:r>
              <w:rPr>
                <w:b w:val="0"/>
                <w:bCs w:val="0"/>
              </w:rPr>
              <w:t>—</w:t>
            </w:r>
          </w:p>
        </w:tc>
        <w:tc>
          <w:tcPr>
            <w:tcW w:w="1064" w:type="dxa"/>
            <w:vAlign w:val="center"/>
          </w:tcPr>
          <w:p w14:paraId="4470DE11" w14:textId="77777777" w:rsidR="00170EB2" w:rsidRDefault="00170EB2" w:rsidP="00170EB2">
            <w:pPr>
              <w:pStyle w:val="Title"/>
              <w:rPr>
                <w:b w:val="0"/>
                <w:bCs w:val="0"/>
              </w:rPr>
            </w:pPr>
            <w:r>
              <w:rPr>
                <w:b w:val="0"/>
                <w:bCs w:val="0"/>
              </w:rPr>
              <w:t>—</w:t>
            </w:r>
          </w:p>
        </w:tc>
        <w:tc>
          <w:tcPr>
            <w:tcW w:w="1064" w:type="dxa"/>
            <w:vAlign w:val="center"/>
          </w:tcPr>
          <w:p w14:paraId="3904160E" w14:textId="77777777" w:rsidR="00170EB2" w:rsidRDefault="00170EB2" w:rsidP="00170EB2">
            <w:pPr>
              <w:pStyle w:val="Title"/>
              <w:rPr>
                <w:b w:val="0"/>
                <w:bCs w:val="0"/>
              </w:rPr>
            </w:pPr>
            <w:r>
              <w:rPr>
                <w:b w:val="0"/>
                <w:bCs w:val="0"/>
              </w:rPr>
              <w:t>—</w:t>
            </w:r>
          </w:p>
        </w:tc>
        <w:tc>
          <w:tcPr>
            <w:tcW w:w="1064" w:type="dxa"/>
            <w:vAlign w:val="center"/>
          </w:tcPr>
          <w:p w14:paraId="6CCEF5CB" w14:textId="5EAB7B57" w:rsidR="00170EB2" w:rsidRDefault="00FD772E" w:rsidP="00170EB2">
            <w:pPr>
              <w:pStyle w:val="Title"/>
              <w:rPr>
                <w:b w:val="0"/>
                <w:bCs w:val="0"/>
              </w:rPr>
            </w:pPr>
            <w:r>
              <w:rPr>
                <w:b w:val="0"/>
                <w:bCs w:val="0"/>
              </w:rPr>
              <w:t>89.</w:t>
            </w:r>
            <w:r w:rsidR="006C1AFB">
              <w:rPr>
                <w:b w:val="0"/>
                <w:bCs w:val="0"/>
              </w:rPr>
              <w:t>3</w:t>
            </w:r>
          </w:p>
        </w:tc>
        <w:tc>
          <w:tcPr>
            <w:tcW w:w="1064" w:type="dxa"/>
            <w:vAlign w:val="center"/>
          </w:tcPr>
          <w:p w14:paraId="6DE292EC" w14:textId="4E52B64F" w:rsidR="00FD772E" w:rsidRDefault="006C1AFB" w:rsidP="00170EB2">
            <w:pPr>
              <w:pStyle w:val="Title"/>
              <w:rPr>
                <w:b w:val="0"/>
                <w:bCs w:val="0"/>
              </w:rPr>
            </w:pPr>
            <w:r>
              <w:rPr>
                <w:b w:val="0"/>
                <w:bCs w:val="0"/>
              </w:rPr>
              <w:t>—</w:t>
            </w:r>
          </w:p>
        </w:tc>
        <w:tc>
          <w:tcPr>
            <w:tcW w:w="1064" w:type="dxa"/>
            <w:vAlign w:val="center"/>
          </w:tcPr>
          <w:p w14:paraId="282B5548" w14:textId="77777777" w:rsidR="00170EB2" w:rsidRDefault="00170EB2" w:rsidP="00170EB2">
            <w:pPr>
              <w:pStyle w:val="Title"/>
              <w:rPr>
                <w:b w:val="0"/>
                <w:bCs w:val="0"/>
              </w:rPr>
            </w:pPr>
            <w:r>
              <w:rPr>
                <w:b w:val="0"/>
                <w:bCs w:val="0"/>
              </w:rPr>
              <w:t>—</w:t>
            </w:r>
          </w:p>
        </w:tc>
        <w:tc>
          <w:tcPr>
            <w:tcW w:w="1064" w:type="dxa"/>
            <w:vAlign w:val="center"/>
          </w:tcPr>
          <w:p w14:paraId="21737437" w14:textId="77777777" w:rsidR="00170EB2" w:rsidRDefault="00170EB2" w:rsidP="00170EB2">
            <w:pPr>
              <w:pStyle w:val="Title"/>
              <w:rPr>
                <w:b w:val="0"/>
                <w:bCs w:val="0"/>
              </w:rPr>
            </w:pPr>
            <w:r>
              <w:rPr>
                <w:b w:val="0"/>
                <w:bCs w:val="0"/>
              </w:rPr>
              <w:t>—</w:t>
            </w:r>
          </w:p>
        </w:tc>
      </w:tr>
    </w:tbl>
    <w:p w14:paraId="6CBCDF29" w14:textId="77777777" w:rsidR="00FD772E" w:rsidRDefault="00FD772E" w:rsidP="001D7E96">
      <w:pPr>
        <w:pStyle w:val="Title"/>
        <w:jc w:val="left"/>
        <w:rPr>
          <w:b w:val="0"/>
          <w:bCs w:val="0"/>
        </w:rPr>
      </w:pPr>
    </w:p>
    <w:p w14:paraId="24CA093A" w14:textId="176C6BDC" w:rsidR="00FD772E" w:rsidRPr="006C1AFB" w:rsidRDefault="006C1AFB" w:rsidP="001D7E96">
      <w:pPr>
        <w:pStyle w:val="Title"/>
        <w:jc w:val="left"/>
        <w:rPr>
          <w:b w:val="0"/>
          <w:bCs w:val="0"/>
        </w:rPr>
      </w:pPr>
      <w:r>
        <w:rPr>
          <w:b w:val="0"/>
          <w:bCs w:val="0"/>
        </w:rPr>
        <w:t>To stay below the Title V threshold for NO</w:t>
      </w:r>
      <w:r>
        <w:rPr>
          <w:b w:val="0"/>
          <w:bCs w:val="0"/>
          <w:vertAlign w:val="subscript"/>
        </w:rPr>
        <w:t>x</w:t>
      </w:r>
      <w:r>
        <w:rPr>
          <w:b w:val="0"/>
          <w:bCs w:val="0"/>
        </w:rPr>
        <w:t>, Kohler has proposed</w:t>
      </w:r>
      <w:r w:rsidR="00AC4297">
        <w:rPr>
          <w:b w:val="0"/>
          <w:bCs w:val="0"/>
        </w:rPr>
        <w:t xml:space="preserve"> </w:t>
      </w:r>
      <w:r w:rsidR="00AC4297" w:rsidRPr="00AC4297">
        <w:rPr>
          <w:b w:val="0"/>
          <w:bCs w:val="0"/>
        </w:rPr>
        <w:t xml:space="preserve">limiting the </w:t>
      </w:r>
      <w:r w:rsidR="00D26D6E">
        <w:rPr>
          <w:b w:val="0"/>
          <w:bCs w:val="0"/>
        </w:rPr>
        <w:t xml:space="preserve">combined </w:t>
      </w:r>
      <w:r w:rsidR="00AC4297" w:rsidRPr="00AC4297">
        <w:rPr>
          <w:b w:val="0"/>
          <w:bCs w:val="0"/>
        </w:rPr>
        <w:t xml:space="preserve">hours of operation of </w:t>
      </w:r>
      <w:r w:rsidR="00AC4297">
        <w:rPr>
          <w:b w:val="0"/>
          <w:bCs w:val="0"/>
        </w:rPr>
        <w:t>the standby generator</w:t>
      </w:r>
      <w:r w:rsidR="00AC4297" w:rsidRPr="00AC4297">
        <w:rPr>
          <w:b w:val="0"/>
          <w:bCs w:val="0"/>
        </w:rPr>
        <w:t xml:space="preserve"> engines </w:t>
      </w:r>
      <w:r w:rsidR="00AC4297">
        <w:rPr>
          <w:b w:val="0"/>
          <w:bCs w:val="0"/>
        </w:rPr>
        <w:t xml:space="preserve">(AA-001) </w:t>
      </w:r>
      <w:r w:rsidR="00AC4297" w:rsidRPr="00AC4297">
        <w:rPr>
          <w:b w:val="0"/>
          <w:bCs w:val="0"/>
        </w:rPr>
        <w:t xml:space="preserve">to </w:t>
      </w:r>
      <w:r w:rsidR="00D26D6E">
        <w:rPr>
          <w:b w:val="0"/>
          <w:bCs w:val="0"/>
        </w:rPr>
        <w:t>3,000</w:t>
      </w:r>
      <w:r w:rsidR="00AC4297" w:rsidRPr="00AC4297">
        <w:rPr>
          <w:b w:val="0"/>
          <w:bCs w:val="0"/>
        </w:rPr>
        <w:t xml:space="preserve"> hours</w:t>
      </w:r>
      <w:r w:rsidR="00577A6F">
        <w:rPr>
          <w:b w:val="0"/>
          <w:bCs w:val="0"/>
        </w:rPr>
        <w:t xml:space="preserve"> </w:t>
      </w:r>
      <w:r w:rsidR="00AC4297" w:rsidRPr="00AC4297">
        <w:rPr>
          <w:b w:val="0"/>
          <w:bCs w:val="0"/>
        </w:rPr>
        <w:t>per year</w:t>
      </w:r>
      <w:r>
        <w:rPr>
          <w:b w:val="0"/>
          <w:bCs w:val="0"/>
        </w:rPr>
        <w:t xml:space="preserve">.  This </w:t>
      </w:r>
      <w:r w:rsidR="00E10F35">
        <w:rPr>
          <w:b w:val="0"/>
          <w:bCs w:val="0"/>
        </w:rPr>
        <w:t>limit on operating hours</w:t>
      </w:r>
      <w:r>
        <w:rPr>
          <w:b w:val="0"/>
          <w:bCs w:val="0"/>
        </w:rPr>
        <w:t xml:space="preserve"> will restrict NO</w:t>
      </w:r>
      <w:r>
        <w:rPr>
          <w:b w:val="0"/>
          <w:bCs w:val="0"/>
          <w:vertAlign w:val="subscript"/>
        </w:rPr>
        <w:t>x</w:t>
      </w:r>
      <w:r>
        <w:rPr>
          <w:b w:val="0"/>
          <w:bCs w:val="0"/>
        </w:rPr>
        <w:t xml:space="preserve"> emissions from the standby generators to 89.3 tons per year</w:t>
      </w:r>
      <w:r w:rsidR="006B2C41">
        <w:rPr>
          <w:b w:val="0"/>
          <w:bCs w:val="0"/>
        </w:rPr>
        <w:t xml:space="preserve"> and effectively serves </w:t>
      </w:r>
      <w:r w:rsidR="00E10F35">
        <w:rPr>
          <w:b w:val="0"/>
          <w:bCs w:val="0"/>
        </w:rPr>
        <w:t>as a federally enforceable Title V avoidance limit.</w:t>
      </w:r>
    </w:p>
    <w:p w14:paraId="75D0CE1C" w14:textId="77777777" w:rsidR="00FD772E" w:rsidRDefault="00FD772E" w:rsidP="001D7E96">
      <w:pPr>
        <w:pStyle w:val="Title"/>
        <w:jc w:val="left"/>
        <w:rPr>
          <w:b w:val="0"/>
          <w:bCs w:val="0"/>
        </w:rPr>
      </w:pPr>
    </w:p>
    <w:p w14:paraId="667FF26B" w14:textId="65DA5FE6" w:rsidR="00FD772E" w:rsidRDefault="00FD772E" w:rsidP="001D7E96">
      <w:pPr>
        <w:pStyle w:val="Title"/>
        <w:jc w:val="left"/>
        <w:rPr>
          <w:b w:val="0"/>
          <w:bCs w:val="0"/>
        </w:rPr>
      </w:pPr>
    </w:p>
    <w:p w14:paraId="059DF55E" w14:textId="17DABF76" w:rsidR="00D26D6E" w:rsidRDefault="00D26D6E" w:rsidP="001D7E96">
      <w:pPr>
        <w:pStyle w:val="Title"/>
        <w:jc w:val="left"/>
        <w:rPr>
          <w:b w:val="0"/>
          <w:bCs w:val="0"/>
        </w:rPr>
      </w:pPr>
    </w:p>
    <w:p w14:paraId="3DEFE111" w14:textId="369A22CA" w:rsidR="00D26D6E" w:rsidRDefault="00D26D6E" w:rsidP="001D7E96">
      <w:pPr>
        <w:pStyle w:val="Title"/>
        <w:jc w:val="left"/>
        <w:rPr>
          <w:b w:val="0"/>
          <w:bCs w:val="0"/>
        </w:rPr>
      </w:pPr>
    </w:p>
    <w:p w14:paraId="52358283" w14:textId="69DCC157" w:rsidR="00D26D6E" w:rsidRDefault="00D26D6E" w:rsidP="001D7E96">
      <w:pPr>
        <w:pStyle w:val="Title"/>
        <w:jc w:val="left"/>
        <w:rPr>
          <w:b w:val="0"/>
          <w:bCs w:val="0"/>
        </w:rPr>
      </w:pPr>
    </w:p>
    <w:p w14:paraId="54F21A12" w14:textId="77777777" w:rsidR="00D26D6E" w:rsidRDefault="00D26D6E" w:rsidP="001D7E96">
      <w:pPr>
        <w:pStyle w:val="Title"/>
        <w:jc w:val="left"/>
        <w:rPr>
          <w:b w:val="0"/>
          <w:bCs w:val="0"/>
        </w:rPr>
      </w:pPr>
    </w:p>
    <w:p w14:paraId="5583E297" w14:textId="77777777" w:rsidR="001D7E96" w:rsidRPr="00CF1CDD" w:rsidRDefault="001D7E96" w:rsidP="00CF1CDD">
      <w:pPr>
        <w:pStyle w:val="Title"/>
        <w:jc w:val="left"/>
        <w:rPr>
          <w:u w:val="single"/>
        </w:rPr>
      </w:pPr>
      <w:r>
        <w:rPr>
          <w:rFonts w:ascii="Tms Rmn" w:hAnsi="Tms Rmn" w:cs="Tms Rmn"/>
          <w:color w:val="000000"/>
          <w:u w:val="single"/>
        </w:rPr>
        <w:lastRenderedPageBreak/>
        <w:t>APPLICABLE/PROPOSED PERMIT LIMITATIONS</w:t>
      </w:r>
    </w:p>
    <w:p w14:paraId="3F988E07" w14:textId="77777777" w:rsidR="00CF1CDD" w:rsidRDefault="00CF1CDD" w:rsidP="001D7E96">
      <w:pPr>
        <w:pStyle w:val="Title"/>
        <w:jc w:val="both"/>
        <w:rPr>
          <w:b w:val="0"/>
          <w:bCs w:val="0"/>
          <w:u w:val="single"/>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1520"/>
        <w:gridCol w:w="2070"/>
        <w:gridCol w:w="2430"/>
        <w:gridCol w:w="3420"/>
      </w:tblGrid>
      <w:tr w:rsidR="00921741" w:rsidRPr="008D5684" w14:paraId="78AD6BBB" w14:textId="77777777" w:rsidTr="00874FFC">
        <w:trPr>
          <w:trHeight w:val="755"/>
          <w:jc w:val="center"/>
        </w:trPr>
        <w:tc>
          <w:tcPr>
            <w:tcW w:w="995" w:type="dxa"/>
            <w:shd w:val="clear" w:color="auto" w:fill="D9D9D9" w:themeFill="background1" w:themeFillShade="D9"/>
            <w:vAlign w:val="center"/>
            <w:hideMark/>
          </w:tcPr>
          <w:p w14:paraId="5A8D6DD8" w14:textId="77777777" w:rsidR="00921741" w:rsidRPr="008D5684" w:rsidRDefault="00921741" w:rsidP="00874FFC">
            <w:pPr>
              <w:widowControl/>
              <w:jc w:val="center"/>
              <w:rPr>
                <w:b/>
                <w:bCs/>
                <w:sz w:val="20"/>
                <w:szCs w:val="20"/>
              </w:rPr>
            </w:pPr>
            <w:r w:rsidRPr="008D5684">
              <w:rPr>
                <w:b/>
                <w:bCs/>
                <w:sz w:val="20"/>
                <w:szCs w:val="20"/>
              </w:rPr>
              <w:t xml:space="preserve">Emission </w:t>
            </w:r>
          </w:p>
          <w:p w14:paraId="7EBBE65C" w14:textId="77777777" w:rsidR="00921741" w:rsidRPr="008D5684" w:rsidRDefault="00921741" w:rsidP="00874FFC">
            <w:pPr>
              <w:widowControl/>
              <w:jc w:val="center"/>
              <w:rPr>
                <w:b/>
                <w:bCs/>
                <w:sz w:val="20"/>
                <w:szCs w:val="20"/>
              </w:rPr>
            </w:pPr>
            <w:r w:rsidRPr="008D5684">
              <w:rPr>
                <w:b/>
                <w:bCs/>
                <w:sz w:val="20"/>
                <w:szCs w:val="20"/>
              </w:rPr>
              <w:t>Point</w:t>
            </w:r>
            <w:r>
              <w:rPr>
                <w:b/>
                <w:bCs/>
                <w:sz w:val="20"/>
                <w:szCs w:val="20"/>
              </w:rPr>
              <w:t>(s)</w:t>
            </w:r>
          </w:p>
        </w:tc>
        <w:tc>
          <w:tcPr>
            <w:tcW w:w="1520" w:type="dxa"/>
            <w:shd w:val="clear" w:color="auto" w:fill="D9D9D9" w:themeFill="background1" w:themeFillShade="D9"/>
            <w:vAlign w:val="center"/>
            <w:hideMark/>
          </w:tcPr>
          <w:p w14:paraId="09815109" w14:textId="77777777" w:rsidR="00921741" w:rsidRPr="008D5684" w:rsidRDefault="00921741" w:rsidP="00874FFC">
            <w:pPr>
              <w:widowControl/>
              <w:jc w:val="center"/>
              <w:rPr>
                <w:b/>
                <w:bCs/>
                <w:sz w:val="20"/>
                <w:szCs w:val="20"/>
              </w:rPr>
            </w:pPr>
            <w:r w:rsidRPr="008D5684">
              <w:rPr>
                <w:b/>
                <w:bCs/>
                <w:sz w:val="20"/>
                <w:szCs w:val="20"/>
              </w:rPr>
              <w:t xml:space="preserve">Pollutant(s) / </w:t>
            </w:r>
          </w:p>
          <w:p w14:paraId="410E7241" w14:textId="77777777" w:rsidR="00921741" w:rsidRPr="008D5684" w:rsidRDefault="00921741" w:rsidP="00874FFC">
            <w:pPr>
              <w:widowControl/>
              <w:jc w:val="center"/>
              <w:rPr>
                <w:b/>
                <w:bCs/>
                <w:sz w:val="20"/>
                <w:szCs w:val="20"/>
              </w:rPr>
            </w:pPr>
            <w:r w:rsidRPr="008D5684">
              <w:rPr>
                <w:b/>
                <w:bCs/>
                <w:sz w:val="20"/>
                <w:szCs w:val="20"/>
              </w:rPr>
              <w:t>Parameter(s)</w:t>
            </w:r>
          </w:p>
        </w:tc>
        <w:tc>
          <w:tcPr>
            <w:tcW w:w="2070" w:type="dxa"/>
            <w:shd w:val="clear" w:color="auto" w:fill="D9D9D9" w:themeFill="background1" w:themeFillShade="D9"/>
            <w:vAlign w:val="center"/>
          </w:tcPr>
          <w:p w14:paraId="6241F2FD" w14:textId="77777777" w:rsidR="00921741" w:rsidRPr="008D5684" w:rsidRDefault="00921741" w:rsidP="00874FFC">
            <w:pPr>
              <w:widowControl/>
              <w:jc w:val="center"/>
              <w:rPr>
                <w:b/>
                <w:bCs/>
                <w:sz w:val="20"/>
                <w:szCs w:val="20"/>
              </w:rPr>
            </w:pPr>
            <w:r w:rsidRPr="008D5684">
              <w:rPr>
                <w:b/>
                <w:bCs/>
                <w:sz w:val="20"/>
                <w:szCs w:val="20"/>
              </w:rPr>
              <w:t>Applicable Requirement(s)</w:t>
            </w:r>
          </w:p>
        </w:tc>
        <w:tc>
          <w:tcPr>
            <w:tcW w:w="2430" w:type="dxa"/>
            <w:shd w:val="clear" w:color="auto" w:fill="D9D9D9" w:themeFill="background1" w:themeFillShade="D9"/>
            <w:vAlign w:val="center"/>
          </w:tcPr>
          <w:p w14:paraId="1713C9C6" w14:textId="77777777" w:rsidR="00921741" w:rsidRPr="008D5684" w:rsidRDefault="00921741" w:rsidP="00874FFC">
            <w:pPr>
              <w:widowControl/>
              <w:jc w:val="center"/>
              <w:rPr>
                <w:b/>
                <w:bCs/>
                <w:sz w:val="20"/>
                <w:szCs w:val="20"/>
              </w:rPr>
            </w:pPr>
            <w:r w:rsidRPr="008D5684">
              <w:rPr>
                <w:b/>
                <w:bCs/>
                <w:sz w:val="20"/>
                <w:szCs w:val="20"/>
              </w:rPr>
              <w:t>Limitation(s) / Standard(s)</w:t>
            </w:r>
          </w:p>
        </w:tc>
        <w:tc>
          <w:tcPr>
            <w:tcW w:w="3420" w:type="dxa"/>
            <w:shd w:val="clear" w:color="auto" w:fill="D9D9D9" w:themeFill="background1" w:themeFillShade="D9"/>
            <w:vAlign w:val="center"/>
            <w:hideMark/>
          </w:tcPr>
          <w:p w14:paraId="6D30800D" w14:textId="77777777" w:rsidR="00921741" w:rsidRPr="008D5684" w:rsidRDefault="00921741" w:rsidP="00874FFC">
            <w:pPr>
              <w:widowControl/>
              <w:jc w:val="center"/>
              <w:rPr>
                <w:b/>
                <w:bCs/>
                <w:sz w:val="20"/>
                <w:szCs w:val="20"/>
              </w:rPr>
            </w:pPr>
            <w:r w:rsidRPr="008D5684">
              <w:rPr>
                <w:b/>
                <w:bCs/>
                <w:sz w:val="20"/>
                <w:szCs w:val="20"/>
              </w:rPr>
              <w:t>Monitoring Requirement(s)</w:t>
            </w:r>
          </w:p>
        </w:tc>
      </w:tr>
      <w:tr w:rsidR="002A1D0D" w:rsidRPr="008D5684" w14:paraId="7616F221" w14:textId="77777777" w:rsidTr="002A1D0D">
        <w:trPr>
          <w:trHeight w:val="512"/>
          <w:jc w:val="center"/>
        </w:trPr>
        <w:tc>
          <w:tcPr>
            <w:tcW w:w="995" w:type="dxa"/>
            <w:shd w:val="clear" w:color="auto" w:fill="FFFFFF" w:themeFill="background1"/>
            <w:vAlign w:val="center"/>
          </w:tcPr>
          <w:p w14:paraId="76CB43F5" w14:textId="77777777" w:rsidR="002A1D0D" w:rsidRDefault="002A1D0D" w:rsidP="00874FFC">
            <w:pPr>
              <w:jc w:val="center"/>
              <w:rPr>
                <w:sz w:val="20"/>
                <w:szCs w:val="20"/>
              </w:rPr>
            </w:pPr>
            <w:r>
              <w:rPr>
                <w:sz w:val="20"/>
                <w:szCs w:val="20"/>
              </w:rPr>
              <w:t>AA-001</w:t>
            </w:r>
          </w:p>
        </w:tc>
        <w:tc>
          <w:tcPr>
            <w:tcW w:w="1520" w:type="dxa"/>
            <w:shd w:val="clear" w:color="auto" w:fill="FFFFFF" w:themeFill="background1"/>
            <w:vAlign w:val="center"/>
          </w:tcPr>
          <w:p w14:paraId="6EFB0F7A" w14:textId="77777777" w:rsidR="002A1D0D" w:rsidRDefault="002A1D0D" w:rsidP="00874FFC">
            <w:pPr>
              <w:widowControl/>
              <w:spacing w:before="120" w:after="120"/>
              <w:jc w:val="center"/>
              <w:rPr>
                <w:bCs/>
                <w:sz w:val="20"/>
                <w:szCs w:val="20"/>
              </w:rPr>
            </w:pPr>
            <w:r>
              <w:rPr>
                <w:bCs/>
                <w:sz w:val="20"/>
                <w:szCs w:val="20"/>
              </w:rPr>
              <w:t>Operating Hours</w:t>
            </w:r>
          </w:p>
        </w:tc>
        <w:tc>
          <w:tcPr>
            <w:tcW w:w="2070" w:type="dxa"/>
            <w:shd w:val="clear" w:color="auto" w:fill="FFFFFF" w:themeFill="background1"/>
            <w:vAlign w:val="center"/>
          </w:tcPr>
          <w:p w14:paraId="2F9F7082" w14:textId="77777777" w:rsidR="006C1AFB" w:rsidRDefault="006C1AFB" w:rsidP="00CF1CDD">
            <w:pPr>
              <w:rPr>
                <w:bCs/>
                <w:sz w:val="20"/>
                <w:szCs w:val="20"/>
              </w:rPr>
            </w:pPr>
          </w:p>
          <w:p w14:paraId="7C8A446D" w14:textId="67B0A3DE" w:rsidR="002A1D0D" w:rsidRDefault="002A1D0D" w:rsidP="00CF1CDD">
            <w:pPr>
              <w:rPr>
                <w:bCs/>
                <w:sz w:val="20"/>
                <w:szCs w:val="20"/>
              </w:rPr>
            </w:pPr>
            <w:r w:rsidRPr="002A1D0D">
              <w:rPr>
                <w:bCs/>
                <w:sz w:val="20"/>
                <w:szCs w:val="20"/>
              </w:rPr>
              <w:t>11 Miss. Admin. Code Pt. 2, R. 2.2.B.(10).</w:t>
            </w:r>
          </w:p>
          <w:p w14:paraId="690985A6" w14:textId="77777777" w:rsidR="006C1AFB" w:rsidRDefault="006C1AFB" w:rsidP="00CF1CDD">
            <w:pPr>
              <w:rPr>
                <w:bCs/>
                <w:sz w:val="20"/>
                <w:szCs w:val="20"/>
              </w:rPr>
            </w:pPr>
          </w:p>
          <w:p w14:paraId="484929CC" w14:textId="77777777" w:rsidR="006C1AFB" w:rsidRDefault="006C1AFB" w:rsidP="00CF1CDD">
            <w:pPr>
              <w:rPr>
                <w:bCs/>
                <w:sz w:val="20"/>
                <w:szCs w:val="20"/>
              </w:rPr>
            </w:pPr>
            <w:r>
              <w:rPr>
                <w:bCs/>
                <w:sz w:val="20"/>
                <w:szCs w:val="20"/>
              </w:rPr>
              <w:t>(Title V Source Avoidance Limit)</w:t>
            </w:r>
          </w:p>
          <w:p w14:paraId="308DB6BA" w14:textId="7E8B7D0C" w:rsidR="006C1AFB" w:rsidRPr="004B7018" w:rsidRDefault="006C1AFB" w:rsidP="00CF1CDD">
            <w:pPr>
              <w:rPr>
                <w:bCs/>
                <w:sz w:val="20"/>
                <w:szCs w:val="20"/>
              </w:rPr>
            </w:pPr>
          </w:p>
        </w:tc>
        <w:tc>
          <w:tcPr>
            <w:tcW w:w="2430" w:type="dxa"/>
            <w:shd w:val="clear" w:color="auto" w:fill="FFFFFF" w:themeFill="background1"/>
            <w:vAlign w:val="center"/>
          </w:tcPr>
          <w:p w14:paraId="47A7DDB4" w14:textId="7F749A42" w:rsidR="002A1D0D" w:rsidRDefault="00D26D6E" w:rsidP="004B7018">
            <w:pPr>
              <w:jc w:val="center"/>
              <w:rPr>
                <w:sz w:val="20"/>
                <w:szCs w:val="20"/>
              </w:rPr>
            </w:pPr>
            <w:r>
              <w:rPr>
                <w:sz w:val="20"/>
                <w:szCs w:val="20"/>
              </w:rPr>
              <w:t>3,000 combined</w:t>
            </w:r>
            <w:r w:rsidR="002A1D0D">
              <w:rPr>
                <w:sz w:val="20"/>
                <w:szCs w:val="20"/>
              </w:rPr>
              <w:t xml:space="preserve"> hours per year for </w:t>
            </w:r>
            <w:r>
              <w:rPr>
                <w:sz w:val="20"/>
                <w:szCs w:val="20"/>
              </w:rPr>
              <w:t>both</w:t>
            </w:r>
            <w:r w:rsidR="00577A6F">
              <w:rPr>
                <w:sz w:val="20"/>
                <w:szCs w:val="20"/>
              </w:rPr>
              <w:t xml:space="preserve"> </w:t>
            </w:r>
            <w:r w:rsidR="002A1D0D">
              <w:rPr>
                <w:sz w:val="20"/>
                <w:szCs w:val="20"/>
              </w:rPr>
              <w:t>engine</w:t>
            </w:r>
            <w:r>
              <w:rPr>
                <w:sz w:val="20"/>
                <w:szCs w:val="20"/>
              </w:rPr>
              <w:t>s</w:t>
            </w:r>
          </w:p>
        </w:tc>
        <w:tc>
          <w:tcPr>
            <w:tcW w:w="3420" w:type="dxa"/>
            <w:shd w:val="clear" w:color="auto" w:fill="FFFFFF" w:themeFill="background1"/>
            <w:vAlign w:val="center"/>
          </w:tcPr>
          <w:p w14:paraId="0DF11DF5" w14:textId="522B1B86" w:rsidR="002A1D0D" w:rsidRDefault="002A1D0D" w:rsidP="00CF1CDD">
            <w:pPr>
              <w:widowControl/>
              <w:spacing w:before="120" w:after="120"/>
              <w:rPr>
                <w:sz w:val="20"/>
                <w:szCs w:val="20"/>
              </w:rPr>
            </w:pPr>
            <w:r>
              <w:rPr>
                <w:sz w:val="20"/>
                <w:szCs w:val="20"/>
              </w:rPr>
              <w:t xml:space="preserve">Monitor and record the operating hours for </w:t>
            </w:r>
            <w:r w:rsidR="00D26D6E">
              <w:rPr>
                <w:sz w:val="20"/>
                <w:szCs w:val="20"/>
              </w:rPr>
              <w:t>the engines</w:t>
            </w:r>
            <w:r>
              <w:rPr>
                <w:sz w:val="20"/>
                <w:szCs w:val="20"/>
              </w:rPr>
              <w:t>, and calculate 12-month rolling totals</w:t>
            </w:r>
          </w:p>
        </w:tc>
      </w:tr>
      <w:tr w:rsidR="00434B61" w:rsidRPr="008D5684" w14:paraId="35563C7B" w14:textId="77777777" w:rsidTr="002A1D0D">
        <w:trPr>
          <w:trHeight w:val="683"/>
          <w:jc w:val="center"/>
        </w:trPr>
        <w:tc>
          <w:tcPr>
            <w:tcW w:w="995" w:type="dxa"/>
            <w:vMerge w:val="restart"/>
            <w:shd w:val="clear" w:color="auto" w:fill="FFFFFF" w:themeFill="background1"/>
            <w:vAlign w:val="center"/>
          </w:tcPr>
          <w:p w14:paraId="6953C9AE" w14:textId="6684F8FD" w:rsidR="00434B61" w:rsidRDefault="00434B61" w:rsidP="00874FFC">
            <w:pPr>
              <w:jc w:val="center"/>
              <w:rPr>
                <w:sz w:val="20"/>
                <w:szCs w:val="20"/>
              </w:rPr>
            </w:pPr>
            <w:r>
              <w:rPr>
                <w:sz w:val="20"/>
                <w:szCs w:val="20"/>
              </w:rPr>
              <w:t>AA-001</w:t>
            </w:r>
          </w:p>
        </w:tc>
        <w:tc>
          <w:tcPr>
            <w:tcW w:w="1520" w:type="dxa"/>
            <w:shd w:val="clear" w:color="auto" w:fill="FFFFFF" w:themeFill="background1"/>
            <w:vAlign w:val="center"/>
          </w:tcPr>
          <w:p w14:paraId="4E6D156A" w14:textId="77777777" w:rsidR="00434B61" w:rsidRDefault="00434B61" w:rsidP="00874FFC">
            <w:pPr>
              <w:widowControl/>
              <w:spacing w:before="120" w:after="120"/>
              <w:jc w:val="center"/>
              <w:rPr>
                <w:bCs/>
                <w:sz w:val="20"/>
                <w:szCs w:val="20"/>
              </w:rPr>
            </w:pPr>
            <w:r>
              <w:rPr>
                <w:bCs/>
                <w:sz w:val="20"/>
                <w:szCs w:val="20"/>
              </w:rPr>
              <w:t>PM</w:t>
            </w:r>
          </w:p>
        </w:tc>
        <w:tc>
          <w:tcPr>
            <w:tcW w:w="2070" w:type="dxa"/>
            <w:shd w:val="clear" w:color="auto" w:fill="FFFFFF" w:themeFill="background1"/>
            <w:vAlign w:val="center"/>
          </w:tcPr>
          <w:p w14:paraId="49DB715A" w14:textId="77777777" w:rsidR="00434B61" w:rsidRPr="002A1D0D" w:rsidRDefault="00434B61" w:rsidP="00CF1CDD">
            <w:pPr>
              <w:rPr>
                <w:bCs/>
                <w:sz w:val="20"/>
                <w:szCs w:val="20"/>
              </w:rPr>
            </w:pPr>
            <w:r w:rsidRPr="002A1D0D">
              <w:rPr>
                <w:bCs/>
                <w:sz w:val="20"/>
                <w:szCs w:val="20"/>
              </w:rPr>
              <w:t>11 Miss Admin. Code Pt. 2, R. 1.3.D(1)(b).</w:t>
            </w:r>
          </w:p>
        </w:tc>
        <w:tc>
          <w:tcPr>
            <w:tcW w:w="2430" w:type="dxa"/>
            <w:shd w:val="clear" w:color="auto" w:fill="FFFFFF" w:themeFill="background1"/>
            <w:vAlign w:val="center"/>
          </w:tcPr>
          <w:p w14:paraId="02986E7A" w14:textId="77777777" w:rsidR="00434B61" w:rsidRDefault="00434B61" w:rsidP="004B7018">
            <w:pPr>
              <w:jc w:val="center"/>
              <w:rPr>
                <w:sz w:val="20"/>
                <w:szCs w:val="20"/>
              </w:rPr>
            </w:pPr>
            <w:r w:rsidRPr="00F810B3">
              <w:rPr>
                <w:sz w:val="18"/>
                <w:szCs w:val="18"/>
              </w:rPr>
              <w:t>E = 0.8808*I</w:t>
            </w:r>
            <w:r w:rsidRPr="00F810B3">
              <w:rPr>
                <w:sz w:val="18"/>
                <w:szCs w:val="18"/>
                <w:vertAlign w:val="superscript"/>
              </w:rPr>
              <w:t>-0.1667</w:t>
            </w:r>
          </w:p>
        </w:tc>
        <w:tc>
          <w:tcPr>
            <w:tcW w:w="3420" w:type="dxa"/>
            <w:shd w:val="clear" w:color="auto" w:fill="FFFFFF" w:themeFill="background1"/>
            <w:vAlign w:val="center"/>
          </w:tcPr>
          <w:p w14:paraId="2CD2FD90" w14:textId="77777777" w:rsidR="00434B61" w:rsidRDefault="00434B61" w:rsidP="00CF1CDD">
            <w:pPr>
              <w:widowControl/>
              <w:spacing w:before="120" w:after="120"/>
              <w:rPr>
                <w:sz w:val="20"/>
                <w:szCs w:val="20"/>
              </w:rPr>
            </w:pPr>
            <w:r>
              <w:rPr>
                <w:sz w:val="20"/>
                <w:szCs w:val="20"/>
              </w:rPr>
              <w:t>No monitoring is proposed for PM for these engines</w:t>
            </w:r>
          </w:p>
        </w:tc>
      </w:tr>
      <w:tr w:rsidR="00434B61" w:rsidRPr="008D5684" w14:paraId="7B0C4B50" w14:textId="77777777" w:rsidTr="0062600B">
        <w:trPr>
          <w:trHeight w:val="58"/>
          <w:jc w:val="center"/>
        </w:trPr>
        <w:tc>
          <w:tcPr>
            <w:tcW w:w="995" w:type="dxa"/>
            <w:vMerge/>
            <w:shd w:val="clear" w:color="auto" w:fill="FFFFFF" w:themeFill="background1"/>
            <w:vAlign w:val="center"/>
          </w:tcPr>
          <w:p w14:paraId="485B09E2" w14:textId="77777777" w:rsidR="00434B61" w:rsidRDefault="00434B61" w:rsidP="00874FFC">
            <w:pPr>
              <w:jc w:val="center"/>
              <w:rPr>
                <w:sz w:val="20"/>
                <w:szCs w:val="20"/>
              </w:rPr>
            </w:pPr>
          </w:p>
        </w:tc>
        <w:tc>
          <w:tcPr>
            <w:tcW w:w="1520" w:type="dxa"/>
            <w:shd w:val="clear" w:color="auto" w:fill="FFFFFF" w:themeFill="background1"/>
            <w:vAlign w:val="center"/>
          </w:tcPr>
          <w:p w14:paraId="6796FCB7" w14:textId="77777777" w:rsidR="00434B61" w:rsidRDefault="00434B61" w:rsidP="00874FFC">
            <w:pPr>
              <w:widowControl/>
              <w:spacing w:before="120" w:after="120"/>
              <w:jc w:val="center"/>
              <w:rPr>
                <w:bCs/>
                <w:sz w:val="20"/>
                <w:szCs w:val="20"/>
              </w:rPr>
            </w:pPr>
            <w:r>
              <w:rPr>
                <w:bCs/>
                <w:sz w:val="20"/>
                <w:szCs w:val="20"/>
              </w:rPr>
              <w:t>CO</w:t>
            </w:r>
          </w:p>
        </w:tc>
        <w:tc>
          <w:tcPr>
            <w:tcW w:w="2070" w:type="dxa"/>
            <w:shd w:val="clear" w:color="auto" w:fill="FFFFFF" w:themeFill="background1"/>
            <w:vAlign w:val="center"/>
          </w:tcPr>
          <w:p w14:paraId="2669DB9D" w14:textId="77777777" w:rsidR="00434B61" w:rsidRPr="002A1D0D" w:rsidRDefault="00434B61" w:rsidP="00CF1CDD">
            <w:pPr>
              <w:rPr>
                <w:bCs/>
                <w:sz w:val="20"/>
                <w:szCs w:val="20"/>
              </w:rPr>
            </w:pPr>
            <w:r w:rsidRPr="009F39C1">
              <w:rPr>
                <w:sz w:val="18"/>
                <w:szCs w:val="18"/>
              </w:rPr>
              <w:t>40 CFR 63.6603(a) and Table 2d.3; Subpart ZZZZ</w:t>
            </w:r>
          </w:p>
        </w:tc>
        <w:tc>
          <w:tcPr>
            <w:tcW w:w="2430" w:type="dxa"/>
            <w:shd w:val="clear" w:color="auto" w:fill="FFFFFF" w:themeFill="background1"/>
            <w:vAlign w:val="center"/>
          </w:tcPr>
          <w:p w14:paraId="461AD56D" w14:textId="77777777" w:rsidR="00434B61" w:rsidRPr="002A1D0D" w:rsidRDefault="00434B61" w:rsidP="002A1D0D">
            <w:pPr>
              <w:widowControl/>
              <w:spacing w:before="120" w:after="120"/>
              <w:rPr>
                <w:sz w:val="18"/>
                <w:szCs w:val="18"/>
              </w:rPr>
            </w:pPr>
            <w:r w:rsidRPr="002A1D0D">
              <w:rPr>
                <w:sz w:val="18"/>
                <w:szCs w:val="18"/>
              </w:rPr>
              <w:t xml:space="preserve">23 </w:t>
            </w:r>
            <w:proofErr w:type="spellStart"/>
            <w:r w:rsidRPr="002A1D0D">
              <w:rPr>
                <w:sz w:val="18"/>
                <w:szCs w:val="18"/>
              </w:rPr>
              <w:t>ppmvd</w:t>
            </w:r>
            <w:proofErr w:type="spellEnd"/>
            <w:r w:rsidRPr="002A1D0D">
              <w:rPr>
                <w:sz w:val="18"/>
                <w:szCs w:val="18"/>
              </w:rPr>
              <w:t xml:space="preserve"> at 15 percent O</w:t>
            </w:r>
            <w:r w:rsidRPr="002A1D0D">
              <w:rPr>
                <w:sz w:val="18"/>
                <w:szCs w:val="18"/>
                <w:vertAlign w:val="subscript"/>
              </w:rPr>
              <w:t>2</w:t>
            </w:r>
            <w:r w:rsidRPr="002A1D0D">
              <w:rPr>
                <w:sz w:val="18"/>
                <w:szCs w:val="18"/>
              </w:rPr>
              <w:t>; or</w:t>
            </w:r>
          </w:p>
          <w:p w14:paraId="0E7A83B4" w14:textId="77777777" w:rsidR="00434B61" w:rsidRPr="00F810B3" w:rsidRDefault="00434B61" w:rsidP="002A1D0D">
            <w:pPr>
              <w:jc w:val="center"/>
              <w:rPr>
                <w:sz w:val="18"/>
                <w:szCs w:val="18"/>
              </w:rPr>
            </w:pPr>
            <w:r w:rsidRPr="002A1D0D">
              <w:rPr>
                <w:sz w:val="18"/>
                <w:szCs w:val="18"/>
              </w:rPr>
              <w:t>Reduce CO emissions by ≥ 70%</w:t>
            </w:r>
          </w:p>
        </w:tc>
        <w:tc>
          <w:tcPr>
            <w:tcW w:w="3420" w:type="dxa"/>
            <w:shd w:val="clear" w:color="auto" w:fill="FFFFFF" w:themeFill="background1"/>
            <w:vAlign w:val="center"/>
          </w:tcPr>
          <w:p w14:paraId="0D1B4059" w14:textId="77777777" w:rsidR="00434B61" w:rsidRDefault="00434B61" w:rsidP="00CF1CDD">
            <w:pPr>
              <w:widowControl/>
              <w:spacing w:before="120" w:after="120"/>
              <w:rPr>
                <w:sz w:val="20"/>
                <w:szCs w:val="20"/>
              </w:rPr>
            </w:pPr>
            <w:r>
              <w:rPr>
                <w:sz w:val="20"/>
                <w:szCs w:val="20"/>
              </w:rPr>
              <w:t xml:space="preserve">Performance testing conducted every 8760 </w:t>
            </w:r>
            <w:bookmarkStart w:id="2" w:name="_GoBack"/>
            <w:r>
              <w:rPr>
                <w:sz w:val="20"/>
                <w:szCs w:val="20"/>
              </w:rPr>
              <w:t>hours</w:t>
            </w:r>
            <w:bookmarkEnd w:id="2"/>
            <w:r>
              <w:rPr>
                <w:sz w:val="20"/>
                <w:szCs w:val="20"/>
              </w:rPr>
              <w:t xml:space="preserve"> or every 3 years, whichever comes first</w:t>
            </w:r>
          </w:p>
          <w:p w14:paraId="69805365" w14:textId="77777777" w:rsidR="00434B61" w:rsidRDefault="00434B61" w:rsidP="00CF1CDD">
            <w:pPr>
              <w:widowControl/>
              <w:spacing w:before="120" w:after="120"/>
              <w:rPr>
                <w:sz w:val="20"/>
                <w:szCs w:val="20"/>
              </w:rPr>
            </w:pPr>
            <w:r w:rsidRPr="002A1D0D">
              <w:rPr>
                <w:sz w:val="20"/>
                <w:szCs w:val="20"/>
              </w:rPr>
              <w:t>Install, operate, and maintain a CPMS to continuously monitor the catalyst inlet temperature</w:t>
            </w:r>
          </w:p>
        </w:tc>
      </w:tr>
      <w:tr w:rsidR="00921741" w:rsidRPr="008D5684" w14:paraId="36D000A3" w14:textId="77777777" w:rsidTr="00874FFC">
        <w:trPr>
          <w:trHeight w:val="863"/>
          <w:jc w:val="center"/>
        </w:trPr>
        <w:tc>
          <w:tcPr>
            <w:tcW w:w="995" w:type="dxa"/>
            <w:vAlign w:val="center"/>
          </w:tcPr>
          <w:p w14:paraId="21B24569" w14:textId="77777777" w:rsidR="00921741" w:rsidRDefault="00921741" w:rsidP="00874FFC">
            <w:pPr>
              <w:jc w:val="center"/>
              <w:rPr>
                <w:sz w:val="20"/>
                <w:szCs w:val="20"/>
              </w:rPr>
            </w:pPr>
            <w:r>
              <w:rPr>
                <w:sz w:val="20"/>
                <w:szCs w:val="20"/>
              </w:rPr>
              <w:t>A</w:t>
            </w:r>
            <w:r w:rsidR="00CF1CDD">
              <w:rPr>
                <w:sz w:val="20"/>
                <w:szCs w:val="20"/>
              </w:rPr>
              <w:t>A-002</w:t>
            </w:r>
          </w:p>
          <w:p w14:paraId="4F1D7EAC" w14:textId="77777777" w:rsidR="00CF1CDD" w:rsidRDefault="00CF1CDD" w:rsidP="00874FFC">
            <w:pPr>
              <w:jc w:val="center"/>
              <w:rPr>
                <w:sz w:val="20"/>
                <w:szCs w:val="20"/>
              </w:rPr>
            </w:pPr>
            <w:r>
              <w:rPr>
                <w:sz w:val="20"/>
                <w:szCs w:val="20"/>
              </w:rPr>
              <w:t>AA-003</w:t>
            </w:r>
          </w:p>
        </w:tc>
        <w:tc>
          <w:tcPr>
            <w:tcW w:w="1520" w:type="dxa"/>
            <w:vAlign w:val="center"/>
          </w:tcPr>
          <w:p w14:paraId="399168CC" w14:textId="77777777" w:rsidR="00921741" w:rsidRDefault="00921741" w:rsidP="00874FFC">
            <w:pPr>
              <w:widowControl/>
              <w:spacing w:before="120" w:after="120"/>
              <w:jc w:val="center"/>
              <w:rPr>
                <w:bCs/>
                <w:sz w:val="20"/>
                <w:szCs w:val="20"/>
              </w:rPr>
            </w:pPr>
            <w:r>
              <w:rPr>
                <w:bCs/>
                <w:sz w:val="20"/>
                <w:szCs w:val="20"/>
              </w:rPr>
              <w:t>PM</w:t>
            </w:r>
          </w:p>
        </w:tc>
        <w:tc>
          <w:tcPr>
            <w:tcW w:w="2070" w:type="dxa"/>
            <w:vAlign w:val="center"/>
          </w:tcPr>
          <w:p w14:paraId="1A6E2B8F" w14:textId="77777777" w:rsidR="00921741" w:rsidRPr="00BD6C86" w:rsidRDefault="00921741" w:rsidP="00CF1CDD">
            <w:pPr>
              <w:widowControl/>
              <w:rPr>
                <w:bCs/>
                <w:sz w:val="20"/>
                <w:szCs w:val="20"/>
              </w:rPr>
            </w:pPr>
            <w:r w:rsidRPr="00D160A0">
              <w:rPr>
                <w:bCs/>
                <w:sz w:val="20"/>
                <w:szCs w:val="20"/>
              </w:rPr>
              <w:t>11 Miss. Admin. Code Pt. 2, R. 1.3.D.(1)(a).</w:t>
            </w:r>
          </w:p>
        </w:tc>
        <w:tc>
          <w:tcPr>
            <w:tcW w:w="2430" w:type="dxa"/>
            <w:vAlign w:val="center"/>
          </w:tcPr>
          <w:p w14:paraId="0F89D170" w14:textId="77777777" w:rsidR="00921741" w:rsidRPr="00D160A0" w:rsidRDefault="00921741" w:rsidP="00874FFC">
            <w:pPr>
              <w:jc w:val="center"/>
              <w:rPr>
                <w:sz w:val="20"/>
                <w:szCs w:val="20"/>
              </w:rPr>
            </w:pPr>
            <w:r w:rsidRPr="00D160A0">
              <w:rPr>
                <w:sz w:val="20"/>
                <w:szCs w:val="20"/>
              </w:rPr>
              <w:t>0.6 Pounds / MMBTU per Hour</w:t>
            </w:r>
          </w:p>
        </w:tc>
        <w:tc>
          <w:tcPr>
            <w:tcW w:w="3420" w:type="dxa"/>
            <w:vMerge w:val="restart"/>
            <w:vAlign w:val="center"/>
          </w:tcPr>
          <w:p w14:paraId="353469EA" w14:textId="5071766D" w:rsidR="00921741" w:rsidRDefault="00CF1CDD" w:rsidP="00CF1CDD">
            <w:pPr>
              <w:widowControl/>
              <w:spacing w:before="120" w:after="120"/>
              <w:rPr>
                <w:bCs/>
                <w:sz w:val="20"/>
                <w:szCs w:val="20"/>
              </w:rPr>
            </w:pPr>
            <w:r>
              <w:rPr>
                <w:bCs/>
                <w:sz w:val="20"/>
                <w:szCs w:val="20"/>
              </w:rPr>
              <w:t>These fuel burning sources utilize natural gas; therefore,</w:t>
            </w:r>
            <w:r w:rsidR="00921741">
              <w:rPr>
                <w:bCs/>
                <w:sz w:val="20"/>
                <w:szCs w:val="20"/>
              </w:rPr>
              <w:t xml:space="preserve"> the margin of compliance for these standards are expected to be significant so no monitoring is proposed</w:t>
            </w:r>
          </w:p>
        </w:tc>
      </w:tr>
      <w:tr w:rsidR="00921741" w:rsidRPr="008D5684" w14:paraId="35F751D1" w14:textId="77777777" w:rsidTr="00874FFC">
        <w:trPr>
          <w:trHeight w:val="899"/>
          <w:jc w:val="center"/>
        </w:trPr>
        <w:tc>
          <w:tcPr>
            <w:tcW w:w="995" w:type="dxa"/>
            <w:vAlign w:val="center"/>
          </w:tcPr>
          <w:p w14:paraId="64B543C1" w14:textId="77777777" w:rsidR="00921741" w:rsidRDefault="00CF1CDD" w:rsidP="00874FFC">
            <w:pPr>
              <w:jc w:val="center"/>
              <w:rPr>
                <w:sz w:val="20"/>
                <w:szCs w:val="20"/>
              </w:rPr>
            </w:pPr>
            <w:r>
              <w:rPr>
                <w:sz w:val="20"/>
                <w:szCs w:val="20"/>
              </w:rPr>
              <w:t>AA-002</w:t>
            </w:r>
          </w:p>
          <w:p w14:paraId="18F53B73" w14:textId="77777777" w:rsidR="00CF1CDD" w:rsidRDefault="00CF1CDD" w:rsidP="00874FFC">
            <w:pPr>
              <w:jc w:val="center"/>
              <w:rPr>
                <w:sz w:val="20"/>
                <w:szCs w:val="20"/>
              </w:rPr>
            </w:pPr>
            <w:r>
              <w:rPr>
                <w:sz w:val="20"/>
                <w:szCs w:val="20"/>
              </w:rPr>
              <w:t>AA-003</w:t>
            </w:r>
          </w:p>
        </w:tc>
        <w:tc>
          <w:tcPr>
            <w:tcW w:w="1520" w:type="dxa"/>
            <w:vAlign w:val="center"/>
          </w:tcPr>
          <w:p w14:paraId="12F679AE" w14:textId="77777777" w:rsidR="00921741" w:rsidRDefault="00921741" w:rsidP="00874FFC">
            <w:pPr>
              <w:widowControl/>
              <w:spacing w:before="120" w:after="120"/>
              <w:jc w:val="center"/>
              <w:rPr>
                <w:bCs/>
                <w:sz w:val="20"/>
                <w:szCs w:val="20"/>
              </w:rPr>
            </w:pPr>
            <w:r>
              <w:rPr>
                <w:bCs/>
                <w:sz w:val="20"/>
                <w:szCs w:val="20"/>
              </w:rPr>
              <w:t>SO</w:t>
            </w:r>
            <w:r w:rsidRPr="00FA357F">
              <w:rPr>
                <w:bCs/>
                <w:sz w:val="20"/>
                <w:szCs w:val="20"/>
                <w:vertAlign w:val="subscript"/>
              </w:rPr>
              <w:t>2</w:t>
            </w:r>
          </w:p>
        </w:tc>
        <w:tc>
          <w:tcPr>
            <w:tcW w:w="2070" w:type="dxa"/>
            <w:vAlign w:val="center"/>
          </w:tcPr>
          <w:p w14:paraId="14A6C5F4" w14:textId="77777777" w:rsidR="00921741" w:rsidRPr="00D160A0" w:rsidRDefault="00921741" w:rsidP="00CF1CDD">
            <w:pPr>
              <w:widowControl/>
              <w:rPr>
                <w:bCs/>
                <w:sz w:val="20"/>
                <w:szCs w:val="20"/>
              </w:rPr>
            </w:pPr>
            <w:r w:rsidRPr="00FA357F">
              <w:rPr>
                <w:bCs/>
                <w:sz w:val="20"/>
                <w:szCs w:val="20"/>
              </w:rPr>
              <w:t>11 Miss. Admin. Code Pt. 2, R. 1.4.(1).</w:t>
            </w:r>
          </w:p>
        </w:tc>
        <w:tc>
          <w:tcPr>
            <w:tcW w:w="2430" w:type="dxa"/>
            <w:vAlign w:val="center"/>
          </w:tcPr>
          <w:p w14:paraId="5D04EEE4" w14:textId="77777777" w:rsidR="00921741" w:rsidRPr="00D160A0" w:rsidRDefault="00921741" w:rsidP="00874FFC">
            <w:pPr>
              <w:jc w:val="center"/>
              <w:rPr>
                <w:sz w:val="20"/>
                <w:szCs w:val="20"/>
              </w:rPr>
            </w:pPr>
            <w:r w:rsidRPr="00FA357F">
              <w:rPr>
                <w:sz w:val="20"/>
                <w:szCs w:val="20"/>
              </w:rPr>
              <w:t>4.8 Pounds / MMBTU Heat Input</w:t>
            </w:r>
          </w:p>
        </w:tc>
        <w:tc>
          <w:tcPr>
            <w:tcW w:w="3420" w:type="dxa"/>
            <w:vMerge/>
            <w:vAlign w:val="center"/>
          </w:tcPr>
          <w:p w14:paraId="214D8516" w14:textId="77777777" w:rsidR="00921741" w:rsidRDefault="00921741" w:rsidP="00874FFC">
            <w:pPr>
              <w:widowControl/>
              <w:spacing w:before="120" w:after="120"/>
              <w:jc w:val="center"/>
              <w:rPr>
                <w:bCs/>
                <w:sz w:val="20"/>
                <w:szCs w:val="20"/>
              </w:rPr>
            </w:pPr>
          </w:p>
        </w:tc>
      </w:tr>
    </w:tbl>
    <w:p w14:paraId="6C0A9AEF" w14:textId="77777777" w:rsidR="001D7E96" w:rsidRDefault="001D7E96" w:rsidP="001D7E96">
      <w:pPr>
        <w:pStyle w:val="BodyText2"/>
        <w:tabs>
          <w:tab w:val="left" w:pos="5220"/>
        </w:tabs>
        <w:spacing w:line="240" w:lineRule="auto"/>
        <w:rPr>
          <w:rFonts w:ascii="Times New Roman" w:hAnsi="Times New Roman" w:cs="Times New Roman"/>
          <w:color w:val="auto"/>
        </w:rPr>
      </w:pPr>
    </w:p>
    <w:p w14:paraId="6DE6C51F" w14:textId="77777777" w:rsidR="001D7E96" w:rsidRDefault="001D7E96" w:rsidP="001D7E96">
      <w:pPr>
        <w:pStyle w:val="Title"/>
        <w:jc w:val="both"/>
        <w:rPr>
          <w:b w:val="0"/>
          <w:bCs w:val="0"/>
        </w:rPr>
      </w:pPr>
    </w:p>
    <w:p w14:paraId="492531AB" w14:textId="77777777" w:rsidR="001D7E96" w:rsidRDefault="001D7E96" w:rsidP="001D7E96">
      <w:pPr>
        <w:pStyle w:val="Title"/>
        <w:jc w:val="both"/>
        <w:rPr>
          <w:u w:val="single"/>
        </w:rPr>
      </w:pPr>
      <w:r>
        <w:rPr>
          <w:u w:val="single"/>
        </w:rPr>
        <w:t>NSPS APPLICABILITY</w:t>
      </w:r>
    </w:p>
    <w:p w14:paraId="32EF4D41" w14:textId="77777777" w:rsidR="001D7E96" w:rsidRDefault="001D7E96" w:rsidP="001D7E96">
      <w:pPr>
        <w:pStyle w:val="Title"/>
        <w:jc w:val="both"/>
        <w:rPr>
          <w:u w:val="single"/>
        </w:rPr>
      </w:pPr>
    </w:p>
    <w:p w14:paraId="2173922E" w14:textId="77777777" w:rsidR="00F7350D" w:rsidRPr="00F7350D" w:rsidRDefault="00F7350D" w:rsidP="00F7350D">
      <w:pPr>
        <w:widowControl/>
        <w:jc w:val="both"/>
        <w:rPr>
          <w:color w:val="000000" w:themeColor="text1"/>
        </w:rPr>
      </w:pPr>
      <w:r w:rsidRPr="00F7350D">
        <w:rPr>
          <w:b/>
          <w:color w:val="000000" w:themeColor="text1"/>
        </w:rPr>
        <w:t>40 CFR Part 60, Subpart IIII</w:t>
      </w:r>
      <w:r w:rsidRPr="00F7350D">
        <w:rPr>
          <w:color w:val="000000" w:themeColor="text1"/>
        </w:rPr>
        <w:t xml:space="preserve"> – </w:t>
      </w:r>
      <w:r w:rsidRPr="00F7350D">
        <w:rPr>
          <w:i/>
          <w:color w:val="000000" w:themeColor="text1"/>
        </w:rPr>
        <w:t>New Source Performance Standards for Stationary Compression Ignition Internal Combustion Engines</w:t>
      </w:r>
    </w:p>
    <w:p w14:paraId="69BBA0D6" w14:textId="77777777" w:rsidR="00F7350D" w:rsidRDefault="00F7350D" w:rsidP="00F7350D">
      <w:pPr>
        <w:widowControl/>
        <w:jc w:val="both"/>
        <w:rPr>
          <w:color w:val="000000" w:themeColor="text1"/>
        </w:rPr>
      </w:pPr>
    </w:p>
    <w:p w14:paraId="5E161F70" w14:textId="77777777" w:rsidR="001D7E96" w:rsidRPr="00F7350D" w:rsidRDefault="00F7350D" w:rsidP="00F7350D">
      <w:pPr>
        <w:widowControl/>
        <w:jc w:val="both"/>
        <w:rPr>
          <w:color w:val="000000" w:themeColor="text1"/>
        </w:rPr>
      </w:pPr>
      <w:r w:rsidRPr="00F7350D">
        <w:rPr>
          <w:color w:val="000000" w:themeColor="text1"/>
        </w:rPr>
        <w:t>Subpart IIII is applicable to owners and operators of stationary CI ICE that commence construction after July 11, 2005, where the stationary CI ICE are manufactured after April 1, 2006 and are not fire pump engines.  The standby generator engines (Emission Point AA-001) were manufactured in 1998; therefore, Subpart IIII is not applicable.</w:t>
      </w:r>
    </w:p>
    <w:p w14:paraId="11C0E288" w14:textId="66DEFADB" w:rsidR="001D7E96" w:rsidRDefault="001D7E96" w:rsidP="001D7E96">
      <w:pPr>
        <w:pStyle w:val="Title"/>
        <w:jc w:val="both"/>
        <w:rPr>
          <w:b w:val="0"/>
          <w:bCs w:val="0"/>
        </w:rPr>
      </w:pPr>
    </w:p>
    <w:p w14:paraId="134A86FE" w14:textId="77777777" w:rsidR="00D26D6E" w:rsidRDefault="00D26D6E" w:rsidP="001D7E96">
      <w:pPr>
        <w:pStyle w:val="Title"/>
        <w:jc w:val="both"/>
        <w:rPr>
          <w:b w:val="0"/>
          <w:bCs w:val="0"/>
        </w:rPr>
      </w:pPr>
    </w:p>
    <w:p w14:paraId="2FBF42E4" w14:textId="77777777" w:rsidR="001D7E96" w:rsidRDefault="001D7E96" w:rsidP="001D7E96">
      <w:pPr>
        <w:pStyle w:val="Title"/>
        <w:jc w:val="both"/>
        <w:rPr>
          <w:u w:val="single"/>
        </w:rPr>
      </w:pPr>
      <w:r>
        <w:rPr>
          <w:u w:val="single"/>
        </w:rPr>
        <w:t>MACT APPLICABILITY</w:t>
      </w:r>
    </w:p>
    <w:p w14:paraId="5775E33E" w14:textId="77777777" w:rsidR="0029309F" w:rsidRDefault="0029309F" w:rsidP="001D7E96">
      <w:pPr>
        <w:pStyle w:val="Title"/>
        <w:jc w:val="both"/>
        <w:rPr>
          <w:b w:val="0"/>
          <w:bCs w:val="0"/>
        </w:rPr>
      </w:pPr>
      <w:r w:rsidRPr="0029309F">
        <w:rPr>
          <w:b w:val="0"/>
          <w:bCs w:val="0"/>
        </w:rPr>
        <w:t>Kohler’s potential Hazardous Air Pollutant emissions are below the Title V thresholds of 25 tons per year for total HAPs and 10 tons per year for single HAPs.  Therefore, Kohler is considered an area source of HAPs</w:t>
      </w:r>
      <w:r>
        <w:rPr>
          <w:b w:val="0"/>
          <w:bCs w:val="0"/>
        </w:rPr>
        <w:t>.</w:t>
      </w:r>
    </w:p>
    <w:p w14:paraId="609BA720" w14:textId="77777777" w:rsidR="0029309F" w:rsidRDefault="0029309F" w:rsidP="001D7E96">
      <w:pPr>
        <w:pStyle w:val="Title"/>
        <w:jc w:val="both"/>
        <w:rPr>
          <w:b w:val="0"/>
          <w:bCs w:val="0"/>
        </w:rPr>
      </w:pPr>
    </w:p>
    <w:p w14:paraId="4E675C27" w14:textId="77777777" w:rsidR="00F7350D" w:rsidRPr="00F7350D" w:rsidRDefault="00F7350D" w:rsidP="00F7350D">
      <w:pPr>
        <w:widowControl/>
        <w:jc w:val="both"/>
        <w:rPr>
          <w:color w:val="000000"/>
        </w:rPr>
      </w:pPr>
      <w:r w:rsidRPr="00F7350D">
        <w:rPr>
          <w:b/>
          <w:color w:val="000000"/>
        </w:rPr>
        <w:t>40 CFR Part 63, Subpart ZZZZ</w:t>
      </w:r>
      <w:r w:rsidRPr="00F7350D">
        <w:rPr>
          <w:color w:val="000000"/>
        </w:rPr>
        <w:t xml:space="preserve"> – </w:t>
      </w:r>
      <w:r w:rsidRPr="00F7350D">
        <w:rPr>
          <w:i/>
          <w:color w:val="000000"/>
        </w:rPr>
        <w:t>National Emission Standards for Hazardous Air Pollutants for Stationary Reciprocating Internal Combustion Engines</w:t>
      </w:r>
    </w:p>
    <w:p w14:paraId="6E4722BA" w14:textId="77777777" w:rsidR="00F7350D" w:rsidRPr="00F7350D" w:rsidRDefault="00F7350D" w:rsidP="00F7350D">
      <w:pPr>
        <w:widowControl/>
        <w:jc w:val="both"/>
        <w:rPr>
          <w:color w:val="000000"/>
        </w:rPr>
      </w:pPr>
    </w:p>
    <w:p w14:paraId="3A0C1C40" w14:textId="77777777" w:rsidR="00A11EAD" w:rsidRPr="00F7350D" w:rsidRDefault="00F7350D" w:rsidP="00F7350D">
      <w:pPr>
        <w:widowControl/>
        <w:jc w:val="both"/>
        <w:rPr>
          <w:color w:val="000000" w:themeColor="text1"/>
        </w:rPr>
      </w:pPr>
      <w:r w:rsidRPr="00F7350D">
        <w:rPr>
          <w:color w:val="000000" w:themeColor="text1"/>
        </w:rPr>
        <w:t xml:space="preserve">Subpart ZZZZ is applicable to owners and operators of stationary RICE at major or area sources of HAP emission, except if the stationary RICE is being tested at a stationary RICE test cell/stand.  The standby generator engines (Emission Point AA-001) are stationary RICE at an area source of HAPs; </w:t>
      </w:r>
      <w:proofErr w:type="gramStart"/>
      <w:r w:rsidRPr="00F7350D">
        <w:rPr>
          <w:color w:val="000000" w:themeColor="text1"/>
        </w:rPr>
        <w:t>therefore</w:t>
      </w:r>
      <w:proofErr w:type="gramEnd"/>
      <w:r w:rsidRPr="00F7350D">
        <w:rPr>
          <w:color w:val="000000" w:themeColor="text1"/>
        </w:rPr>
        <w:t xml:space="preserve"> Subpart ZZZZ applies.</w:t>
      </w:r>
    </w:p>
    <w:p w14:paraId="7DA4A5A1" w14:textId="44B650B3" w:rsidR="00A11EAD" w:rsidRDefault="00A11EAD">
      <w:pPr>
        <w:pStyle w:val="Title"/>
        <w:jc w:val="both"/>
        <w:rPr>
          <w:b w:val="0"/>
          <w:bCs w:val="0"/>
        </w:rPr>
      </w:pPr>
    </w:p>
    <w:p w14:paraId="2142B108" w14:textId="77777777" w:rsidR="00D26D6E" w:rsidRDefault="00D26D6E">
      <w:pPr>
        <w:pStyle w:val="Title"/>
        <w:jc w:val="both"/>
        <w:rPr>
          <w:b w:val="0"/>
          <w:bCs w:val="0"/>
        </w:rPr>
      </w:pPr>
    </w:p>
    <w:p w14:paraId="3072FE49" w14:textId="77777777" w:rsidR="00AE785C" w:rsidRDefault="00AE785C">
      <w:pPr>
        <w:spacing w:line="240" w:lineRule="atLeast"/>
        <w:rPr>
          <w:rFonts w:ascii="Tms Rmn" w:hAnsi="Tms Rmn" w:cs="Tms Rmn"/>
          <w:b/>
          <w:bCs/>
          <w:color w:val="000000"/>
          <w:u w:val="single"/>
        </w:rPr>
      </w:pPr>
      <w:r>
        <w:rPr>
          <w:rFonts w:ascii="Tms Rmn" w:hAnsi="Tms Rmn" w:cs="Tms Rmn"/>
          <w:b/>
          <w:bCs/>
          <w:color w:val="000000"/>
          <w:u w:val="single"/>
        </w:rPr>
        <w:t>PUBLIC PARTICIPATION</w:t>
      </w:r>
    </w:p>
    <w:p w14:paraId="6B0EFC2A" w14:textId="3B1F8ECE" w:rsidR="00AE785C" w:rsidRDefault="00AE785C" w:rsidP="00D26D6E">
      <w:pPr>
        <w:pStyle w:val="BodyText2"/>
      </w:pPr>
      <w:r>
        <w:t xml:space="preserve">The 30-day public notice period began on </w:t>
      </w:r>
      <w:r w:rsidR="00D26D6E">
        <w:t>July 1, 2020</w:t>
      </w:r>
      <w:r>
        <w:t xml:space="preserve">, with the publication of a notice in the </w:t>
      </w:r>
      <w:r w:rsidR="00D26D6E">
        <w:t>Hattiesburg American</w:t>
      </w:r>
      <w:r>
        <w:t xml:space="preserve"> and ends </w:t>
      </w:r>
      <w:r w:rsidR="00D26D6E">
        <w:t>July 31, 2020</w:t>
      </w:r>
      <w:r>
        <w:t>.</w:t>
      </w:r>
    </w:p>
    <w:p w14:paraId="38ECB78B" w14:textId="7DA44AF1" w:rsidR="00745139" w:rsidRDefault="00745139">
      <w:pPr>
        <w:spacing w:line="240" w:lineRule="atLeast"/>
        <w:rPr>
          <w:rFonts w:ascii="Tms Rmn" w:hAnsi="Tms Rmn" w:cs="Tms Rmn"/>
          <w:b/>
          <w:bCs/>
          <w:color w:val="000000"/>
          <w:u w:val="single"/>
        </w:rPr>
      </w:pPr>
    </w:p>
    <w:p w14:paraId="22DC09CC" w14:textId="77777777" w:rsidR="00442B8A" w:rsidRDefault="00442B8A">
      <w:pPr>
        <w:spacing w:line="240" w:lineRule="atLeast"/>
        <w:rPr>
          <w:rFonts w:ascii="Tms Rmn" w:hAnsi="Tms Rmn" w:cs="Tms Rmn"/>
          <w:b/>
          <w:bCs/>
          <w:color w:val="000000"/>
          <w:u w:val="single"/>
        </w:rPr>
      </w:pPr>
    </w:p>
    <w:p w14:paraId="6C4A12B4" w14:textId="77777777" w:rsidR="00AE785C" w:rsidRDefault="00AE785C">
      <w:pPr>
        <w:spacing w:line="240" w:lineRule="atLeast"/>
        <w:rPr>
          <w:rFonts w:ascii="Tms Rmn" w:hAnsi="Tms Rmn" w:cs="Tms Rmn"/>
          <w:b/>
          <w:bCs/>
          <w:color w:val="000000"/>
          <w:u w:val="single"/>
        </w:rPr>
      </w:pPr>
      <w:r>
        <w:rPr>
          <w:rFonts w:ascii="Tms Rmn" w:hAnsi="Tms Rmn" w:cs="Tms Rmn"/>
          <w:b/>
          <w:bCs/>
          <w:color w:val="000000"/>
          <w:u w:val="single"/>
        </w:rPr>
        <w:t>RECOMMENDATION</w:t>
      </w:r>
    </w:p>
    <w:p w14:paraId="70BC80F8" w14:textId="77777777" w:rsidR="0026446A" w:rsidRDefault="00AE785C">
      <w:pPr>
        <w:pStyle w:val="Title"/>
        <w:jc w:val="both"/>
        <w:rPr>
          <w:rFonts w:ascii="Tms Rmn" w:hAnsi="Tms Rmn" w:cs="Tms Rmn"/>
          <w:b w:val="0"/>
          <w:bCs w:val="0"/>
          <w:snapToGrid w:val="0"/>
          <w:color w:val="000000"/>
        </w:rPr>
      </w:pPr>
      <w:r>
        <w:rPr>
          <w:rFonts w:ascii="Tms Rmn" w:hAnsi="Tms Rmn" w:cs="Tms Rmn"/>
          <w:b w:val="0"/>
          <w:bCs w:val="0"/>
          <w:snapToGrid w:val="0"/>
          <w:color w:val="000000"/>
        </w:rPr>
        <w:t>The staff has preliminarily decided to recommend issuance of the permit to the Mississippi Environmental Quality Permit Board as shown in the draft permit.  However, the staff recommendation to the Board will be made only after a thorough consideration of all public comments.</w:t>
      </w:r>
    </w:p>
    <w:p w14:paraId="0AAC946C" w14:textId="77777777" w:rsidR="00AE785C" w:rsidRDefault="00AE785C">
      <w:pPr>
        <w:pStyle w:val="Title"/>
        <w:jc w:val="both"/>
        <w:rPr>
          <w:rFonts w:ascii="Tms Rmn" w:hAnsi="Tms Rmn" w:cs="Tms Rmn"/>
          <w:b w:val="0"/>
          <w:bCs w:val="0"/>
          <w:snapToGrid w:val="0"/>
          <w:color w:val="000000"/>
        </w:rPr>
      </w:pPr>
    </w:p>
    <w:sectPr w:rsidR="00AE785C" w:rsidSect="0055558F">
      <w:headerReference w:type="default" r:id="rId8"/>
      <w:footerReference w:type="default" r:id="rId9"/>
      <w:footerReference w:type="first" r:id="rId10"/>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B43AC" w14:textId="77777777" w:rsidR="00F022ED" w:rsidRDefault="00F022ED">
      <w:r>
        <w:separator/>
      </w:r>
    </w:p>
  </w:endnote>
  <w:endnote w:type="continuationSeparator" w:id="0">
    <w:p w14:paraId="3D6ABF9D" w14:textId="77777777" w:rsidR="00F022ED" w:rsidRDefault="00F0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A679C" w14:textId="77777777" w:rsidR="00AE785C" w:rsidRPr="0026446A" w:rsidRDefault="0026446A" w:rsidP="0026446A">
    <w:pPr>
      <w:pStyle w:val="Footer"/>
    </w:pPr>
    <w:r>
      <w:t>1078 PER20200001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17F59" w14:textId="77777777" w:rsidR="00AE785C" w:rsidRDefault="00AE785C">
    <w:pPr>
      <w:pStyle w:val="Footer"/>
    </w:pPr>
    <w:r>
      <w:t>1078 PER20200001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82157" w14:textId="77777777" w:rsidR="00F022ED" w:rsidRDefault="00F022ED">
      <w:r>
        <w:separator/>
      </w:r>
    </w:p>
  </w:footnote>
  <w:footnote w:type="continuationSeparator" w:id="0">
    <w:p w14:paraId="4F0377C5" w14:textId="77777777" w:rsidR="00F022ED" w:rsidRDefault="00F02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8A8CC" w14:textId="77777777" w:rsidR="00AE785C" w:rsidRDefault="00AE785C">
    <w:pPr>
      <w:pStyle w:val="Header"/>
      <w:rPr>
        <w:sz w:val="18"/>
        <w:szCs w:val="18"/>
      </w:rPr>
    </w:pPr>
    <w:r>
      <w:rPr>
        <w:sz w:val="18"/>
        <w:szCs w:val="18"/>
      </w:rPr>
      <w:t>Permit Review Summary</w:t>
    </w:r>
  </w:p>
  <w:p w14:paraId="0D60638B" w14:textId="35626F9C" w:rsidR="00AE785C" w:rsidRDefault="00AE785C">
    <w:pPr>
      <w:pStyle w:val="Header"/>
      <w:rPr>
        <w:rStyle w:val="PageNumber"/>
        <w:sz w:val="18"/>
        <w:szCs w:val="18"/>
      </w:rPr>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6626B3">
      <w:rPr>
        <w:rStyle w:val="PageNumber"/>
        <w:noProof/>
        <w:sz w:val="18"/>
        <w:szCs w:val="18"/>
      </w:rPr>
      <w:t>4</w:t>
    </w:r>
    <w:r>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40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DB1F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D062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E25F60"/>
    <w:multiLevelType w:val="hybridMultilevel"/>
    <w:tmpl w:val="4A0AB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C87B3A"/>
    <w:multiLevelType w:val="hybridMultilevel"/>
    <w:tmpl w:val="8CA8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5279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15:restartNumberingAfterBreak="0">
    <w:nsid w:val="352A414E"/>
    <w:multiLevelType w:val="hybridMultilevel"/>
    <w:tmpl w:val="3D60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44DC7"/>
    <w:multiLevelType w:val="hybridMultilevel"/>
    <w:tmpl w:val="90CEC2C0"/>
    <w:lvl w:ilvl="0" w:tplc="487E8D4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571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63D3B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A366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B2960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D5224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D090F9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8"/>
  </w:num>
  <w:num w:numId="4">
    <w:abstractNumId w:val="12"/>
  </w:num>
  <w:num w:numId="5">
    <w:abstractNumId w:val="1"/>
  </w:num>
  <w:num w:numId="6">
    <w:abstractNumId w:val="11"/>
  </w:num>
  <w:num w:numId="7">
    <w:abstractNumId w:val="13"/>
  </w:num>
  <w:num w:numId="8">
    <w:abstractNumId w:val="10"/>
  </w:num>
  <w:num w:numId="9">
    <w:abstractNumId w:val="9"/>
  </w:num>
  <w:num w:numId="10">
    <w:abstractNumId w:val="2"/>
  </w:num>
  <w:num w:numId="11">
    <w:abstractNumId w:val="6"/>
  </w:num>
  <w:num w:numId="12">
    <w:abstractNumId w:val="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ress" w:val="\'5c'5c'5c'5c'5c'5c'5c'5c'5c'5c'5c'5c'5c'5c'5c'5c'0d\'5c'5c'5c'5c'5c'5c'5c'5c'5c'5c'5c'5c'5c'5c'5c'5c'0d\'5c'5c'5c'5c'5c'5c'5c'5c'5c'5c'5c'5c'5c'5c'5c'5c'0d,   "/>
    <w:docVar w:name="FacilityContact" w:val="man"/>
    <w:docVar w:name="Ref" w:val="Permit 1\'5c'5c'5c'5c'5c'5c'5c'5c'5c'5c'5c'5c'5c'5c'5c'5c'0d\'5c'5c'5c'5c'5c'5c'5c'5c'5c'5c'5c'5c'5c'5c'5c'5c'0aPermit 2\'5c'5c'5c'5c'5c'5c'5c'5c'5c'5c'5c'5c'5c'5c'5c'5c'0d\'5c'5c'5c'5c'5c'5c'5c'5c'5c'5c'5c'5c'5c'5c'5c'5c'0a"/>
  </w:docVars>
  <w:rsids>
    <w:rsidRoot w:val="0026446A"/>
    <w:rsid w:val="000066A3"/>
    <w:rsid w:val="00015CE5"/>
    <w:rsid w:val="00022BAA"/>
    <w:rsid w:val="0002647F"/>
    <w:rsid w:val="00031259"/>
    <w:rsid w:val="00032135"/>
    <w:rsid w:val="0005046D"/>
    <w:rsid w:val="000D1BD0"/>
    <w:rsid w:val="000E5006"/>
    <w:rsid w:val="000E657C"/>
    <w:rsid w:val="001305E0"/>
    <w:rsid w:val="00142382"/>
    <w:rsid w:val="00170EB2"/>
    <w:rsid w:val="001A13EC"/>
    <w:rsid w:val="001A2B9E"/>
    <w:rsid w:val="001D7E96"/>
    <w:rsid w:val="001F6050"/>
    <w:rsid w:val="0020244F"/>
    <w:rsid w:val="002254E6"/>
    <w:rsid w:val="00233312"/>
    <w:rsid w:val="0025456A"/>
    <w:rsid w:val="0026446A"/>
    <w:rsid w:val="002919C7"/>
    <w:rsid w:val="0029309F"/>
    <w:rsid w:val="002A1D0D"/>
    <w:rsid w:val="0030533E"/>
    <w:rsid w:val="00361BC2"/>
    <w:rsid w:val="003846F7"/>
    <w:rsid w:val="003976F8"/>
    <w:rsid w:val="003B2E0F"/>
    <w:rsid w:val="003B4F53"/>
    <w:rsid w:val="003C1849"/>
    <w:rsid w:val="00434B61"/>
    <w:rsid w:val="00442B8A"/>
    <w:rsid w:val="0048159C"/>
    <w:rsid w:val="004B7018"/>
    <w:rsid w:val="00514CEE"/>
    <w:rsid w:val="00530CC9"/>
    <w:rsid w:val="00533198"/>
    <w:rsid w:val="0055558F"/>
    <w:rsid w:val="00562523"/>
    <w:rsid w:val="00563A17"/>
    <w:rsid w:val="00577A6F"/>
    <w:rsid w:val="0062600B"/>
    <w:rsid w:val="00660C21"/>
    <w:rsid w:val="006626B3"/>
    <w:rsid w:val="00671D57"/>
    <w:rsid w:val="00674247"/>
    <w:rsid w:val="00691513"/>
    <w:rsid w:val="006A1772"/>
    <w:rsid w:val="006B2789"/>
    <w:rsid w:val="006B2C41"/>
    <w:rsid w:val="006B38D2"/>
    <w:rsid w:val="006C1AFB"/>
    <w:rsid w:val="00745139"/>
    <w:rsid w:val="00771954"/>
    <w:rsid w:val="00874FFC"/>
    <w:rsid w:val="008C68B5"/>
    <w:rsid w:val="008D5684"/>
    <w:rsid w:val="009041BA"/>
    <w:rsid w:val="00912F49"/>
    <w:rsid w:val="00921741"/>
    <w:rsid w:val="009508F2"/>
    <w:rsid w:val="00986DF9"/>
    <w:rsid w:val="009D3373"/>
    <w:rsid w:val="009F39C1"/>
    <w:rsid w:val="00A028B8"/>
    <w:rsid w:val="00A11EAD"/>
    <w:rsid w:val="00A14FBD"/>
    <w:rsid w:val="00A175DF"/>
    <w:rsid w:val="00A21F1D"/>
    <w:rsid w:val="00A45CF6"/>
    <w:rsid w:val="00A60DC5"/>
    <w:rsid w:val="00A8766A"/>
    <w:rsid w:val="00A90E68"/>
    <w:rsid w:val="00A9141A"/>
    <w:rsid w:val="00AA174B"/>
    <w:rsid w:val="00AB5062"/>
    <w:rsid w:val="00AC4297"/>
    <w:rsid w:val="00AE785C"/>
    <w:rsid w:val="00AF3C0E"/>
    <w:rsid w:val="00B13733"/>
    <w:rsid w:val="00B4253C"/>
    <w:rsid w:val="00B43E9A"/>
    <w:rsid w:val="00B64B20"/>
    <w:rsid w:val="00B82B4A"/>
    <w:rsid w:val="00BD6C86"/>
    <w:rsid w:val="00BF79C3"/>
    <w:rsid w:val="00C87529"/>
    <w:rsid w:val="00CA7DD7"/>
    <w:rsid w:val="00CF1CDD"/>
    <w:rsid w:val="00CF2494"/>
    <w:rsid w:val="00D160A0"/>
    <w:rsid w:val="00D26D6E"/>
    <w:rsid w:val="00D65C78"/>
    <w:rsid w:val="00D75ECD"/>
    <w:rsid w:val="00D84228"/>
    <w:rsid w:val="00E10F35"/>
    <w:rsid w:val="00E12BF2"/>
    <w:rsid w:val="00E81BEA"/>
    <w:rsid w:val="00E97289"/>
    <w:rsid w:val="00F022ED"/>
    <w:rsid w:val="00F67BC9"/>
    <w:rsid w:val="00F706D9"/>
    <w:rsid w:val="00F7350D"/>
    <w:rsid w:val="00F810B3"/>
    <w:rsid w:val="00F83D5A"/>
    <w:rsid w:val="00FA357F"/>
    <w:rsid w:val="00FD55C4"/>
    <w:rsid w:val="00FD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2BF9E5"/>
  <w14:defaultImageDpi w14:val="0"/>
  <w15:docId w15:val="{53FBD528-8041-41A3-ABB6-0684BC67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qFormat="1"/>
    <w:lsdException w:name="Closing" w:semiHidden="1"/>
    <w:lsdException w:name="Signature" w:semiHidden="1"/>
    <w:lsdException w:name="Default Paragraph Font" w:semiHidden="1"/>
    <w:lsdException w:name="Body Text" w:semiHidden="1"/>
    <w:lsdException w:name="Subtitle" w:uiPriority="11" w:qFormat="1"/>
    <w:lsdException w:name="Salutation" w:semiHidden="1" w:unhideWhenUsed="1"/>
    <w:lsdException w:name="Date" w:semiHidden="1"/>
    <w:lsdException w:name="Body Text First Indent" w:semiHidden="1" w:unhideWhenUsed="1"/>
    <w:lsdException w:name="Body Text 2" w:semiHidden="1"/>
    <w:lsdException w:name="Strong" w:uiPriority="22" w:qFormat="1"/>
    <w:lsdException w:name="Emphasis" w:uiPriority="20"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widowControl/>
      <w:jc w:val="center"/>
      <w:outlineLvl w:val="0"/>
    </w:pPr>
    <w:rPr>
      <w:b/>
      <w:bCs/>
    </w:rPr>
  </w:style>
  <w:style w:type="paragraph" w:styleId="Heading2">
    <w:name w:val="heading 2"/>
    <w:basedOn w:val="Normal"/>
    <w:next w:val="Normal"/>
    <w:link w:val="Heading2Char"/>
    <w:uiPriority w:val="99"/>
    <w:qFormat/>
    <w:pPr>
      <w:keepNext/>
      <w:widowControl/>
      <w:jc w:val="center"/>
      <w:outlineLvl w:val="1"/>
    </w:pPr>
    <w:rPr>
      <w:b/>
      <w:bCs/>
      <w:sz w:val="28"/>
      <w:szCs w:val="28"/>
    </w:rPr>
  </w:style>
  <w:style w:type="paragraph" w:styleId="Heading3">
    <w:name w:val="heading 3"/>
    <w:basedOn w:val="Normal"/>
    <w:next w:val="Normal"/>
    <w:link w:val="Heading3Char"/>
    <w:uiPriority w:val="99"/>
    <w:qFormat/>
    <w:pPr>
      <w:keepNext/>
      <w:widowControl/>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styleId="FootnoteReference">
    <w:name w:val="footnote reference"/>
    <w:basedOn w:val="DefaultParagraphFont"/>
    <w:uiPriority w:val="99"/>
    <w:semiHidden/>
    <w:rPr>
      <w:rFonts w:cs="Times New Roman"/>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ReferenceLine">
    <w:name w:val="Reference Line"/>
    <w:basedOn w:val="BodyText"/>
    <w:uiPriority w:val="99"/>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emiHidden/>
    <w:locked/>
    <w:rPr>
      <w:rFonts w:cs="Times New Roman"/>
      <w:sz w:val="24"/>
      <w:szCs w:val="24"/>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locked/>
    <w:rPr>
      <w:rFonts w:cs="Times New Roman"/>
      <w:sz w:val="24"/>
      <w:szCs w:val="24"/>
    </w:rPr>
  </w:style>
  <w:style w:type="paragraph" w:customStyle="1" w:styleId="CcList">
    <w:name w:val="Cc List"/>
    <w:basedOn w:val="Normal"/>
    <w:uiPriority w:val="99"/>
  </w:style>
  <w:style w:type="paragraph" w:styleId="Date">
    <w:name w:val="Date"/>
    <w:basedOn w:val="Normal"/>
    <w:next w:val="Normal"/>
    <w:link w:val="DateChar"/>
    <w:uiPriority w:val="99"/>
    <w:pPr>
      <w:ind w:left="4320"/>
    </w:pPr>
  </w:style>
  <w:style w:type="character" w:customStyle="1" w:styleId="DateChar">
    <w:name w:val="Date Char"/>
    <w:basedOn w:val="DefaultParagraphFont"/>
    <w:link w:val="Date"/>
    <w:uiPriority w:val="99"/>
    <w:semiHidden/>
    <w:locked/>
    <w:rPr>
      <w:rFonts w:cs="Times New Roman"/>
      <w:sz w:val="24"/>
      <w:szCs w:val="24"/>
    </w:rPr>
  </w:style>
  <w:style w:type="paragraph" w:styleId="BodyText2">
    <w:name w:val="Body Text 2"/>
    <w:basedOn w:val="Normal"/>
    <w:link w:val="BodyText2Char"/>
    <w:uiPriority w:val="99"/>
    <w:pPr>
      <w:spacing w:line="240" w:lineRule="atLeast"/>
      <w:jc w:val="both"/>
    </w:pPr>
    <w:rPr>
      <w:rFonts w:ascii="Tms Rmn" w:hAnsi="Tms Rmn" w:cs="Tms Rmn"/>
      <w:color w:val="000000"/>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Title">
    <w:name w:val="Title"/>
    <w:basedOn w:val="Normal"/>
    <w:link w:val="TitleChar"/>
    <w:uiPriority w:val="99"/>
    <w:qFormat/>
    <w:pPr>
      <w:widowControl/>
      <w:jc w:val="center"/>
    </w:pPr>
    <w:rPr>
      <w:b/>
      <w:bCs/>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sid w:val="00671D57"/>
    <w:rPr>
      <w:rFonts w:ascii="Segoe UI" w:hAnsi="Segoe UI" w:cs="Segoe UI"/>
      <w:sz w:val="18"/>
      <w:szCs w:val="18"/>
    </w:rPr>
  </w:style>
  <w:style w:type="character" w:customStyle="1" w:styleId="BalloonTextChar">
    <w:name w:val="Balloon Text Char"/>
    <w:basedOn w:val="DefaultParagraphFont"/>
    <w:link w:val="BalloonText"/>
    <w:uiPriority w:val="99"/>
    <w:locked/>
    <w:rsid w:val="00671D57"/>
    <w:rPr>
      <w:rFonts w:ascii="Segoe UI" w:hAnsi="Segoe UI" w:cs="Segoe UI"/>
      <w:sz w:val="18"/>
      <w:szCs w:val="18"/>
    </w:rPr>
  </w:style>
  <w:style w:type="table" w:styleId="TableGrid">
    <w:name w:val="Table Grid"/>
    <w:basedOn w:val="TableNormal"/>
    <w:uiPriority w:val="59"/>
    <w:rsid w:val="00170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1741"/>
    <w:pPr>
      <w:widowControl w:val="0"/>
      <w:autoSpaceDE w:val="0"/>
      <w:autoSpaceDN w:val="0"/>
      <w:spacing w:after="0" w:line="240" w:lineRule="auto"/>
    </w:pPr>
    <w:rPr>
      <w:sz w:val="24"/>
      <w:szCs w:val="24"/>
    </w:rPr>
  </w:style>
  <w:style w:type="character" w:styleId="PlaceholderText">
    <w:name w:val="Placeholder Text"/>
    <w:basedOn w:val="DefaultParagraphFont"/>
    <w:uiPriority w:val="99"/>
    <w:semiHidden/>
    <w:rsid w:val="004B7018"/>
    <w:rPr>
      <w:rFonts w:cs="Times New Roman"/>
      <w:color w:val="808080"/>
    </w:rPr>
  </w:style>
  <w:style w:type="character" w:styleId="CommentReference">
    <w:name w:val="annotation reference"/>
    <w:basedOn w:val="DefaultParagraphFont"/>
    <w:uiPriority w:val="99"/>
    <w:rsid w:val="001305E0"/>
    <w:rPr>
      <w:rFonts w:cs="Times New Roman"/>
      <w:sz w:val="16"/>
      <w:szCs w:val="16"/>
    </w:rPr>
  </w:style>
  <w:style w:type="paragraph" w:styleId="CommentText">
    <w:name w:val="annotation text"/>
    <w:basedOn w:val="Normal"/>
    <w:link w:val="CommentTextChar"/>
    <w:uiPriority w:val="99"/>
    <w:rsid w:val="001305E0"/>
    <w:rPr>
      <w:sz w:val="20"/>
      <w:szCs w:val="20"/>
    </w:rPr>
  </w:style>
  <w:style w:type="character" w:customStyle="1" w:styleId="CommentTextChar">
    <w:name w:val="Comment Text Char"/>
    <w:basedOn w:val="DefaultParagraphFont"/>
    <w:link w:val="CommentText"/>
    <w:uiPriority w:val="99"/>
    <w:locked/>
    <w:rsid w:val="001305E0"/>
    <w:rPr>
      <w:rFonts w:cs="Times New Roman"/>
      <w:sz w:val="20"/>
      <w:szCs w:val="20"/>
    </w:rPr>
  </w:style>
  <w:style w:type="paragraph" w:styleId="CommentSubject">
    <w:name w:val="annotation subject"/>
    <w:basedOn w:val="CommentText"/>
    <w:next w:val="CommentText"/>
    <w:link w:val="CommentSubjectChar"/>
    <w:uiPriority w:val="99"/>
    <w:rsid w:val="001305E0"/>
    <w:rPr>
      <w:b/>
      <w:bCs/>
    </w:rPr>
  </w:style>
  <w:style w:type="character" w:customStyle="1" w:styleId="CommentSubjectChar">
    <w:name w:val="Comment Subject Char"/>
    <w:basedOn w:val="CommentTextChar"/>
    <w:link w:val="CommentSubject"/>
    <w:uiPriority w:val="99"/>
    <w:locked/>
    <w:rsid w:val="001305E0"/>
    <w:rPr>
      <w:rFonts w:cs="Times New Roman"/>
      <w:b/>
      <w:bCs/>
      <w:sz w:val="20"/>
      <w:szCs w:val="20"/>
    </w:rPr>
  </w:style>
  <w:style w:type="paragraph" w:styleId="Revision">
    <w:name w:val="Revision"/>
    <w:hidden/>
    <w:uiPriority w:val="99"/>
    <w:semiHidden/>
    <w:rsid w:val="00A60DC5"/>
    <w:pPr>
      <w:spacing w:after="0" w:line="240" w:lineRule="auto"/>
    </w:pPr>
    <w:rPr>
      <w:sz w:val="24"/>
      <w:szCs w:val="24"/>
    </w:rPr>
  </w:style>
  <w:style w:type="paragraph" w:styleId="ListParagraph">
    <w:name w:val="List Paragraph"/>
    <w:basedOn w:val="Normal"/>
    <w:uiPriority w:val="34"/>
    <w:qFormat/>
    <w:rsid w:val="00D26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793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EPD\enSite%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F6632-956B-4809-BDA6-5C5FCA0A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enSite Letter</Template>
  <TotalTime>0</TotalTime>
  <Pages>4</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afgafgasdgfsd</vt:lpstr>
    </vt:vector>
  </TitlesOfParts>
  <Company>None</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afgafgasdgfsd</dc:title>
  <dc:subject/>
  <dc:creator>Bruce Ferguson</dc:creator>
  <cp:keywords/>
  <dc:description/>
  <cp:lastModifiedBy>Megan Rupp</cp:lastModifiedBy>
  <cp:revision>2</cp:revision>
  <cp:lastPrinted>2019-01-10T15:50:00Z</cp:lastPrinted>
  <dcterms:created xsi:type="dcterms:W3CDTF">2020-06-24T16:32:00Z</dcterms:created>
  <dcterms:modified xsi:type="dcterms:W3CDTF">2020-06-24T16:32:00Z</dcterms:modified>
</cp:coreProperties>
</file>