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BACE" w14:textId="77777777" w:rsidR="00AE785C" w:rsidRDefault="00AE785C">
      <w:pPr>
        <w:pStyle w:val="Title"/>
        <w:rPr>
          <w:sz w:val="28"/>
          <w:szCs w:val="28"/>
          <w:u w:val="single"/>
        </w:rPr>
      </w:pPr>
      <w:r>
        <w:rPr>
          <w:sz w:val="28"/>
          <w:szCs w:val="28"/>
          <w:u w:val="single"/>
        </w:rPr>
        <w:t>PERMIT REVIEW SUMMARY</w:t>
      </w:r>
    </w:p>
    <w:p w14:paraId="16755CBC" w14:textId="77777777" w:rsidR="00AE785C" w:rsidRDefault="00AE785C">
      <w:pPr>
        <w:pStyle w:val="Title"/>
        <w:jc w:val="both"/>
      </w:pPr>
    </w:p>
    <w:p w14:paraId="2F73615A" w14:textId="53C9BCBC" w:rsidR="00233312" w:rsidRDefault="00233312" w:rsidP="00233312">
      <w:pPr>
        <w:pStyle w:val="Title"/>
        <w:jc w:val="both"/>
      </w:pPr>
      <w:r>
        <w:t>Permit Writer:</w:t>
      </w:r>
      <w:r>
        <w:tab/>
      </w:r>
      <w:r w:rsidR="00FE40EA">
        <w:rPr>
          <w:b w:val="0"/>
        </w:rPr>
        <w:t>Megan Rupp</w:t>
      </w:r>
      <w:r w:rsidR="00FE40EA">
        <w:rPr>
          <w:b w:val="0"/>
        </w:rPr>
        <w:tab/>
      </w:r>
      <w:r>
        <w:rPr>
          <w:b w:val="0"/>
        </w:rPr>
        <w:t xml:space="preserve"> </w:t>
      </w:r>
      <w:r>
        <w:rPr>
          <w:b w:val="0"/>
        </w:rPr>
        <w:tab/>
      </w:r>
      <w:r w:rsidR="006D7846">
        <w:rPr>
          <w:b w:val="0"/>
        </w:rPr>
        <w:tab/>
      </w:r>
      <w:r w:rsidR="006D7846">
        <w:rPr>
          <w:b w:val="0"/>
        </w:rPr>
        <w:tab/>
      </w:r>
      <w:r w:rsidR="006D7846">
        <w:rPr>
          <w:b w:val="0"/>
        </w:rPr>
        <w:tab/>
      </w:r>
      <w:r>
        <w:t>Date:</w:t>
      </w:r>
      <w:r>
        <w:rPr>
          <w:b w:val="0"/>
        </w:rPr>
        <w:tab/>
      </w:r>
      <w:r w:rsidR="00347F2C">
        <w:rPr>
          <w:b w:val="0"/>
        </w:rPr>
        <w:t>July 19</w:t>
      </w:r>
      <w:r w:rsidR="00050E9E">
        <w:rPr>
          <w:b w:val="0"/>
        </w:rPr>
        <w:t>,</w:t>
      </w:r>
      <w:r w:rsidR="00F932FC">
        <w:rPr>
          <w:b w:val="0"/>
        </w:rPr>
        <w:t xml:space="preserve"> 2021</w:t>
      </w:r>
    </w:p>
    <w:p w14:paraId="786A975A" w14:textId="77777777" w:rsidR="00562523" w:rsidRDefault="00562523">
      <w:pPr>
        <w:pStyle w:val="Title"/>
        <w:jc w:val="both"/>
      </w:pPr>
    </w:p>
    <w:p w14:paraId="2C3D59D9" w14:textId="77777777" w:rsidR="00AE785C" w:rsidRDefault="00AE785C">
      <w:pPr>
        <w:pStyle w:val="Title"/>
        <w:jc w:val="both"/>
      </w:pPr>
      <w:r>
        <w:t>Company Name:</w:t>
      </w:r>
      <w:r>
        <w:tab/>
      </w:r>
      <w:r>
        <w:rPr>
          <w:b w:val="0"/>
          <w:bCs w:val="0"/>
        </w:rPr>
        <w:t>Signet Maritime Corporation, Signet Shipbuilding and Repair</w:t>
      </w:r>
    </w:p>
    <w:p w14:paraId="48ACA0F0" w14:textId="77777777" w:rsidR="00AE785C" w:rsidRDefault="00AE785C">
      <w:pPr>
        <w:pStyle w:val="Title"/>
        <w:jc w:val="both"/>
      </w:pPr>
    </w:p>
    <w:p w14:paraId="21A6FF7D" w14:textId="77777777" w:rsidR="00AE785C" w:rsidRDefault="00AE785C">
      <w:pPr>
        <w:pStyle w:val="Title"/>
        <w:jc w:val="both"/>
        <w:rPr>
          <w:b w:val="0"/>
          <w:bCs w:val="0"/>
        </w:rPr>
      </w:pPr>
      <w:r>
        <w:t>Facility Location:</w:t>
      </w:r>
      <w:r>
        <w:tab/>
      </w:r>
      <w:r>
        <w:rPr>
          <w:b w:val="0"/>
          <w:bCs w:val="0"/>
        </w:rPr>
        <w:t>3802 Port River Road</w:t>
      </w:r>
    </w:p>
    <w:p w14:paraId="1EA43242" w14:textId="77777777" w:rsidR="00AE785C" w:rsidRDefault="00530A07">
      <w:pPr>
        <w:pStyle w:val="Title"/>
        <w:ind w:left="2160"/>
        <w:jc w:val="both"/>
        <w:rPr>
          <w:b w:val="0"/>
          <w:bCs w:val="0"/>
        </w:rPr>
      </w:pPr>
      <w:r>
        <w:rPr>
          <w:b w:val="0"/>
          <w:bCs w:val="0"/>
        </w:rPr>
        <w:t>Pascagoula, MS 39567</w:t>
      </w:r>
    </w:p>
    <w:p w14:paraId="1C28CB45" w14:textId="77777777" w:rsidR="00AE785C" w:rsidRDefault="00AE785C">
      <w:pPr>
        <w:pStyle w:val="Title"/>
        <w:jc w:val="both"/>
      </w:pPr>
    </w:p>
    <w:p w14:paraId="640ADFDE" w14:textId="77777777" w:rsidR="00AE785C" w:rsidRDefault="00AE785C">
      <w:pPr>
        <w:pStyle w:val="Title"/>
        <w:jc w:val="both"/>
      </w:pPr>
      <w:r>
        <w:t>Source Number:</w:t>
      </w:r>
      <w:r>
        <w:tab/>
      </w:r>
      <w:r>
        <w:rPr>
          <w:b w:val="0"/>
          <w:bCs w:val="0"/>
        </w:rPr>
        <w:t>1280-00047</w:t>
      </w:r>
    </w:p>
    <w:p w14:paraId="103B44A2" w14:textId="77777777" w:rsidR="00AE785C" w:rsidRDefault="00AE785C">
      <w:pPr>
        <w:pStyle w:val="Title"/>
        <w:jc w:val="both"/>
      </w:pPr>
    </w:p>
    <w:p w14:paraId="4CC4AD6D" w14:textId="77777777" w:rsidR="00AE785C" w:rsidRDefault="00AE785C">
      <w:pPr>
        <w:pStyle w:val="Title"/>
        <w:jc w:val="both"/>
      </w:pPr>
      <w:r>
        <w:t xml:space="preserve">County: </w:t>
      </w:r>
      <w:r>
        <w:tab/>
      </w:r>
      <w:r>
        <w:tab/>
      </w:r>
      <w:r>
        <w:rPr>
          <w:b w:val="0"/>
          <w:bCs w:val="0"/>
        </w:rPr>
        <w:t>Jackson</w:t>
      </w:r>
    </w:p>
    <w:p w14:paraId="303E1FBE" w14:textId="77777777" w:rsidR="00AE785C" w:rsidRDefault="00AE785C">
      <w:pPr>
        <w:pStyle w:val="Title"/>
        <w:jc w:val="both"/>
      </w:pPr>
    </w:p>
    <w:p w14:paraId="5A547A23" w14:textId="77777777" w:rsidR="001D7E96" w:rsidRDefault="001D7E96" w:rsidP="001D7E96">
      <w:pPr>
        <w:pStyle w:val="Title"/>
        <w:jc w:val="both"/>
        <w:rPr>
          <w:u w:val="single"/>
        </w:rPr>
      </w:pPr>
      <w:r>
        <w:rPr>
          <w:u w:val="single"/>
        </w:rPr>
        <w:t>FACILITY DESCRIPTION</w:t>
      </w:r>
    </w:p>
    <w:p w14:paraId="75DE80CE" w14:textId="77777777" w:rsidR="001D7E96" w:rsidRDefault="001D7E96" w:rsidP="001D7E96">
      <w:pPr>
        <w:pStyle w:val="Title"/>
        <w:jc w:val="both"/>
        <w:rPr>
          <w:u w:val="single"/>
        </w:rPr>
      </w:pPr>
    </w:p>
    <w:p w14:paraId="740054D8" w14:textId="2C59E3F4" w:rsidR="001D7E96" w:rsidRDefault="00530A07" w:rsidP="001D7E96">
      <w:pPr>
        <w:pStyle w:val="Title"/>
        <w:jc w:val="both"/>
        <w:rPr>
          <w:b w:val="0"/>
          <w:bCs w:val="0"/>
        </w:rPr>
      </w:pPr>
      <w:r>
        <w:rPr>
          <w:b w:val="0"/>
          <w:bCs w:val="0"/>
        </w:rPr>
        <w:t>Signet Maritime Corporation, Signet Shipbuilding and Repair (</w:t>
      </w:r>
      <w:r w:rsidR="000F2E85">
        <w:rPr>
          <w:b w:val="0"/>
          <w:bCs w:val="0"/>
        </w:rPr>
        <w:t>“</w:t>
      </w:r>
      <w:r>
        <w:rPr>
          <w:b w:val="0"/>
          <w:bCs w:val="0"/>
        </w:rPr>
        <w:t>Signet</w:t>
      </w:r>
      <w:r w:rsidR="000F2E85">
        <w:rPr>
          <w:b w:val="0"/>
          <w:bCs w:val="0"/>
        </w:rPr>
        <w:t>”</w:t>
      </w:r>
      <w:r>
        <w:rPr>
          <w:b w:val="0"/>
          <w:bCs w:val="0"/>
        </w:rPr>
        <w:t>) is an existing</w:t>
      </w:r>
      <w:r w:rsidRPr="00530A07">
        <w:rPr>
          <w:b w:val="0"/>
          <w:bCs w:val="0"/>
        </w:rPr>
        <w:t xml:space="preserve"> shipyard </w:t>
      </w:r>
      <w:r w:rsidR="000F2E85">
        <w:rPr>
          <w:b w:val="0"/>
          <w:bCs w:val="0"/>
        </w:rPr>
        <w:t xml:space="preserve">that </w:t>
      </w:r>
      <w:r w:rsidR="00952720">
        <w:rPr>
          <w:b w:val="0"/>
          <w:bCs w:val="0"/>
        </w:rPr>
        <w:t xml:space="preserve">constructs, repairs, refurbishes, and maintains </w:t>
      </w:r>
      <w:r w:rsidRPr="00530A07">
        <w:rPr>
          <w:b w:val="0"/>
          <w:bCs w:val="0"/>
        </w:rPr>
        <w:t>steel and aluminum marine vessels.</w:t>
      </w:r>
      <w:r>
        <w:rPr>
          <w:b w:val="0"/>
          <w:bCs w:val="0"/>
        </w:rPr>
        <w:t xml:space="preserve">  The facility’s operations </w:t>
      </w:r>
      <w:r w:rsidR="00FC17FF">
        <w:rPr>
          <w:b w:val="0"/>
          <w:bCs w:val="0"/>
        </w:rPr>
        <w:t xml:space="preserve">primarily </w:t>
      </w:r>
      <w:r w:rsidR="000F2E85">
        <w:rPr>
          <w:b w:val="0"/>
          <w:bCs w:val="0"/>
        </w:rPr>
        <w:t xml:space="preserve">fall </w:t>
      </w:r>
      <w:r>
        <w:rPr>
          <w:b w:val="0"/>
          <w:bCs w:val="0"/>
        </w:rPr>
        <w:t xml:space="preserve">under SIC </w:t>
      </w:r>
      <w:r w:rsidR="00C75BAB">
        <w:rPr>
          <w:b w:val="0"/>
          <w:bCs w:val="0"/>
        </w:rPr>
        <w:t>C</w:t>
      </w:r>
      <w:r>
        <w:rPr>
          <w:b w:val="0"/>
          <w:bCs w:val="0"/>
        </w:rPr>
        <w:t>ode 3731</w:t>
      </w:r>
      <w:r w:rsidR="00EB7572">
        <w:rPr>
          <w:b w:val="0"/>
          <w:bCs w:val="0"/>
        </w:rPr>
        <w:t xml:space="preserve"> </w:t>
      </w:r>
      <w:r w:rsidR="000F2E85">
        <w:rPr>
          <w:b w:val="0"/>
          <w:bCs w:val="0"/>
        </w:rPr>
        <w:t>(</w:t>
      </w:r>
      <w:r w:rsidR="000F2E85" w:rsidRPr="000F2E85">
        <w:rPr>
          <w:b w:val="0"/>
          <w:bCs w:val="0"/>
        </w:rPr>
        <w:t>Ship Building and Repairing</w:t>
      </w:r>
      <w:r w:rsidR="000F2E85">
        <w:rPr>
          <w:b w:val="0"/>
          <w:bCs w:val="0"/>
        </w:rPr>
        <w:t xml:space="preserve">) </w:t>
      </w:r>
      <w:r w:rsidR="00EB7572">
        <w:rPr>
          <w:b w:val="0"/>
          <w:bCs w:val="0"/>
        </w:rPr>
        <w:t xml:space="preserve">and NAICS </w:t>
      </w:r>
      <w:r w:rsidR="00C75BAB">
        <w:rPr>
          <w:b w:val="0"/>
          <w:bCs w:val="0"/>
        </w:rPr>
        <w:t>C</w:t>
      </w:r>
      <w:r w:rsidR="00EB7572">
        <w:rPr>
          <w:b w:val="0"/>
          <w:bCs w:val="0"/>
        </w:rPr>
        <w:t>ode 336611</w:t>
      </w:r>
      <w:r>
        <w:rPr>
          <w:b w:val="0"/>
          <w:bCs w:val="0"/>
        </w:rPr>
        <w:t xml:space="preserve">.  </w:t>
      </w:r>
      <w:r w:rsidR="00952720">
        <w:rPr>
          <w:b w:val="0"/>
          <w:bCs w:val="0"/>
        </w:rPr>
        <w:t>The primary o</w:t>
      </w:r>
      <w:r>
        <w:rPr>
          <w:b w:val="0"/>
          <w:bCs w:val="0"/>
        </w:rPr>
        <w:t>perations at the facility include</w:t>
      </w:r>
      <w:r w:rsidR="000F2E85">
        <w:rPr>
          <w:b w:val="0"/>
          <w:bCs w:val="0"/>
        </w:rPr>
        <w:t xml:space="preserve"> </w:t>
      </w:r>
      <w:r w:rsidR="00360BC5">
        <w:rPr>
          <w:b w:val="0"/>
          <w:bCs w:val="0"/>
        </w:rPr>
        <w:t>abrasive blasting</w:t>
      </w:r>
      <w:r>
        <w:rPr>
          <w:b w:val="0"/>
          <w:bCs w:val="0"/>
        </w:rPr>
        <w:t xml:space="preserve">, painting/coating, and welding. </w:t>
      </w:r>
    </w:p>
    <w:p w14:paraId="4BC3E5F8" w14:textId="77777777" w:rsidR="001D7E96" w:rsidRDefault="001D7E96" w:rsidP="001D7E96">
      <w:pPr>
        <w:pStyle w:val="Title"/>
        <w:jc w:val="both"/>
        <w:rPr>
          <w:u w:val="single"/>
        </w:rPr>
      </w:pPr>
    </w:p>
    <w:p w14:paraId="355A2C8B" w14:textId="20CCAF6E" w:rsidR="001D7E96" w:rsidRDefault="001D7E96" w:rsidP="001D7E96">
      <w:pPr>
        <w:pStyle w:val="Title"/>
        <w:jc w:val="both"/>
        <w:rPr>
          <w:u w:val="single"/>
        </w:rPr>
      </w:pPr>
      <w:r>
        <w:rPr>
          <w:u w:val="single"/>
        </w:rPr>
        <w:t>PERMIT ACTION DESCRIPTION</w:t>
      </w:r>
    </w:p>
    <w:p w14:paraId="5F6B94FB" w14:textId="77777777" w:rsidR="001D7E96" w:rsidRDefault="001D7E96" w:rsidP="001D7E96">
      <w:pPr>
        <w:pStyle w:val="Title"/>
        <w:jc w:val="both"/>
        <w:rPr>
          <w:u w:val="single"/>
        </w:rPr>
      </w:pPr>
    </w:p>
    <w:p w14:paraId="3D3F3BC6" w14:textId="2BAAB9F5" w:rsidR="001D7E96" w:rsidRDefault="00530A07" w:rsidP="001D7E96">
      <w:pPr>
        <w:pStyle w:val="Title"/>
        <w:jc w:val="both"/>
        <w:rPr>
          <w:b w:val="0"/>
          <w:bCs w:val="0"/>
        </w:rPr>
      </w:pPr>
      <w:r>
        <w:rPr>
          <w:b w:val="0"/>
          <w:bCs w:val="0"/>
        </w:rPr>
        <w:t xml:space="preserve">Signet has submitted an application for renewal of </w:t>
      </w:r>
      <w:r w:rsidR="000F2E85">
        <w:rPr>
          <w:b w:val="0"/>
          <w:bCs w:val="0"/>
        </w:rPr>
        <w:t xml:space="preserve">its </w:t>
      </w:r>
      <w:r>
        <w:rPr>
          <w:b w:val="0"/>
          <w:bCs w:val="0"/>
        </w:rPr>
        <w:t>Synthetic Minor Operating Permit.  No modifications have been requested with this permit action.  However, the following changes have been made to the permi</w:t>
      </w:r>
      <w:r w:rsidR="00EE2C9D">
        <w:rPr>
          <w:b w:val="0"/>
          <w:bCs w:val="0"/>
        </w:rPr>
        <w:t>t</w:t>
      </w:r>
      <w:r w:rsidR="008B06B4">
        <w:rPr>
          <w:b w:val="0"/>
          <w:bCs w:val="0"/>
        </w:rPr>
        <w:t>:</w:t>
      </w:r>
    </w:p>
    <w:p w14:paraId="3DE4E58F" w14:textId="77777777" w:rsidR="00530A07" w:rsidRDefault="00530A07" w:rsidP="001D7E96">
      <w:pPr>
        <w:pStyle w:val="Title"/>
        <w:jc w:val="both"/>
        <w:rPr>
          <w:b w:val="0"/>
          <w:bCs w:val="0"/>
        </w:rPr>
      </w:pPr>
    </w:p>
    <w:p w14:paraId="1147757F" w14:textId="635AEA5B" w:rsidR="00530A07" w:rsidRDefault="00FE40EA" w:rsidP="00530A07">
      <w:pPr>
        <w:pStyle w:val="Title"/>
        <w:numPr>
          <w:ilvl w:val="0"/>
          <w:numId w:val="11"/>
        </w:numPr>
        <w:jc w:val="both"/>
        <w:rPr>
          <w:b w:val="0"/>
          <w:bCs w:val="0"/>
        </w:rPr>
      </w:pPr>
      <w:r>
        <w:rPr>
          <w:b w:val="0"/>
          <w:bCs w:val="0"/>
        </w:rPr>
        <w:t xml:space="preserve">Requirements from 40 CFR </w:t>
      </w:r>
      <w:r w:rsidR="000F2E85">
        <w:rPr>
          <w:b w:val="0"/>
          <w:bCs w:val="0"/>
        </w:rPr>
        <w:t xml:space="preserve">Part </w:t>
      </w:r>
      <w:r>
        <w:rPr>
          <w:b w:val="0"/>
          <w:bCs w:val="0"/>
        </w:rPr>
        <w:t>63, Subpart CCCCCC have been added</w:t>
      </w:r>
      <w:r w:rsidR="00EE2C9D">
        <w:rPr>
          <w:b w:val="0"/>
          <w:bCs w:val="0"/>
        </w:rPr>
        <w:t xml:space="preserve"> </w:t>
      </w:r>
      <w:r w:rsidR="000F2E85">
        <w:rPr>
          <w:b w:val="0"/>
          <w:bCs w:val="0"/>
        </w:rPr>
        <w:t xml:space="preserve">as a result of </w:t>
      </w:r>
      <w:r w:rsidR="00EE2C9D">
        <w:rPr>
          <w:b w:val="0"/>
          <w:bCs w:val="0"/>
        </w:rPr>
        <w:t>the 1,500-gallon gasoline storage tank</w:t>
      </w:r>
      <w:r w:rsidR="000F2E85">
        <w:rPr>
          <w:b w:val="0"/>
          <w:bCs w:val="0"/>
        </w:rPr>
        <w:t xml:space="preserve"> on-site</w:t>
      </w:r>
      <w:r w:rsidR="007C66C6">
        <w:rPr>
          <w:b w:val="0"/>
          <w:bCs w:val="0"/>
        </w:rPr>
        <w:t>.</w:t>
      </w:r>
    </w:p>
    <w:p w14:paraId="7D7334BE" w14:textId="77777777" w:rsidR="00EE2C9D" w:rsidRDefault="00EE2C9D" w:rsidP="00EE2C9D">
      <w:pPr>
        <w:pStyle w:val="Title"/>
        <w:ind w:left="360"/>
        <w:jc w:val="both"/>
        <w:rPr>
          <w:b w:val="0"/>
          <w:bCs w:val="0"/>
        </w:rPr>
      </w:pPr>
    </w:p>
    <w:p w14:paraId="47BB5249" w14:textId="2BFCEF1F" w:rsidR="00003238" w:rsidRDefault="00FE40EA" w:rsidP="00530A07">
      <w:pPr>
        <w:pStyle w:val="Title"/>
        <w:numPr>
          <w:ilvl w:val="0"/>
          <w:numId w:val="11"/>
        </w:numPr>
        <w:jc w:val="both"/>
        <w:rPr>
          <w:b w:val="0"/>
          <w:bCs w:val="0"/>
        </w:rPr>
      </w:pPr>
      <w:r>
        <w:rPr>
          <w:b w:val="0"/>
          <w:bCs w:val="0"/>
        </w:rPr>
        <w:t xml:space="preserve">In the previous permit, the </w:t>
      </w:r>
      <w:r w:rsidR="008570FC">
        <w:rPr>
          <w:b w:val="0"/>
          <w:bCs w:val="0"/>
        </w:rPr>
        <w:t>volatile organic compound (</w:t>
      </w:r>
      <w:r>
        <w:rPr>
          <w:b w:val="0"/>
          <w:bCs w:val="0"/>
        </w:rPr>
        <w:t>VOC</w:t>
      </w:r>
      <w:r w:rsidR="008570FC">
        <w:rPr>
          <w:b w:val="0"/>
          <w:bCs w:val="0"/>
        </w:rPr>
        <w:t>)</w:t>
      </w:r>
      <w:r>
        <w:rPr>
          <w:b w:val="0"/>
          <w:bCs w:val="0"/>
        </w:rPr>
        <w:t xml:space="preserve"> and </w:t>
      </w:r>
      <w:r w:rsidR="008570FC">
        <w:rPr>
          <w:b w:val="0"/>
          <w:bCs w:val="0"/>
        </w:rPr>
        <w:t>hazardous air pollutant (</w:t>
      </w:r>
      <w:r>
        <w:rPr>
          <w:b w:val="0"/>
          <w:bCs w:val="0"/>
        </w:rPr>
        <w:t>HAP</w:t>
      </w:r>
      <w:r w:rsidR="008570FC">
        <w:rPr>
          <w:b w:val="0"/>
          <w:bCs w:val="0"/>
        </w:rPr>
        <w:t>)</w:t>
      </w:r>
      <w:r>
        <w:rPr>
          <w:b w:val="0"/>
          <w:bCs w:val="0"/>
        </w:rPr>
        <w:t xml:space="preserve"> limitations were applied only to the </w:t>
      </w:r>
      <w:r w:rsidR="00591E8D">
        <w:rPr>
          <w:b w:val="0"/>
          <w:bCs w:val="0"/>
        </w:rPr>
        <w:t xml:space="preserve">surface coating </w:t>
      </w:r>
      <w:r>
        <w:rPr>
          <w:b w:val="0"/>
          <w:bCs w:val="0"/>
        </w:rPr>
        <w:t xml:space="preserve">operations (Emission Point AA-002).  The limits were as follows: </w:t>
      </w:r>
      <w:r w:rsidRPr="00FE40EA">
        <w:rPr>
          <w:b w:val="0"/>
          <w:bCs w:val="0"/>
        </w:rPr>
        <w:t>38</w:t>
      </w:r>
      <w:r w:rsidR="002A1642">
        <w:rPr>
          <w:b w:val="0"/>
          <w:bCs w:val="0"/>
        </w:rPr>
        <w:t>.0</w:t>
      </w:r>
      <w:r w:rsidRPr="00FE40EA">
        <w:rPr>
          <w:b w:val="0"/>
          <w:bCs w:val="0"/>
        </w:rPr>
        <w:t xml:space="preserve"> tpy for VOC</w:t>
      </w:r>
      <w:r w:rsidR="002A1642">
        <w:rPr>
          <w:b w:val="0"/>
          <w:bCs w:val="0"/>
        </w:rPr>
        <w:t>s</w:t>
      </w:r>
      <w:r w:rsidRPr="00FE40EA">
        <w:rPr>
          <w:b w:val="0"/>
          <w:bCs w:val="0"/>
        </w:rPr>
        <w:t>, 20</w:t>
      </w:r>
      <w:r w:rsidR="002A1642">
        <w:rPr>
          <w:b w:val="0"/>
          <w:bCs w:val="0"/>
        </w:rPr>
        <w:t>.0</w:t>
      </w:r>
      <w:r w:rsidRPr="00FE40EA">
        <w:rPr>
          <w:b w:val="0"/>
          <w:bCs w:val="0"/>
        </w:rPr>
        <w:t xml:space="preserve"> tpy for total HAP, and 7</w:t>
      </w:r>
      <w:r w:rsidR="00003238">
        <w:rPr>
          <w:b w:val="0"/>
          <w:bCs w:val="0"/>
        </w:rPr>
        <w:t>.0</w:t>
      </w:r>
      <w:r w:rsidRPr="00FE40EA">
        <w:rPr>
          <w:b w:val="0"/>
          <w:bCs w:val="0"/>
        </w:rPr>
        <w:t xml:space="preserve"> tpy for </w:t>
      </w:r>
      <w:r w:rsidR="00003238">
        <w:rPr>
          <w:b w:val="0"/>
          <w:bCs w:val="0"/>
        </w:rPr>
        <w:t xml:space="preserve">a </w:t>
      </w:r>
      <w:r w:rsidRPr="00FE40EA">
        <w:rPr>
          <w:b w:val="0"/>
          <w:bCs w:val="0"/>
        </w:rPr>
        <w:t>single HAP</w:t>
      </w:r>
      <w:r>
        <w:rPr>
          <w:b w:val="0"/>
          <w:bCs w:val="0"/>
        </w:rPr>
        <w:t xml:space="preserve">.  </w:t>
      </w:r>
    </w:p>
    <w:p w14:paraId="78509EB2" w14:textId="77777777" w:rsidR="00003238" w:rsidRDefault="00003238" w:rsidP="00450468">
      <w:pPr>
        <w:pStyle w:val="Title"/>
        <w:ind w:left="360"/>
        <w:jc w:val="both"/>
        <w:rPr>
          <w:b w:val="0"/>
          <w:bCs w:val="0"/>
        </w:rPr>
      </w:pPr>
    </w:p>
    <w:p w14:paraId="47E50D3F" w14:textId="71FC00A5" w:rsidR="00FE40EA" w:rsidRDefault="00E80E4C" w:rsidP="00450468">
      <w:pPr>
        <w:pStyle w:val="Title"/>
        <w:ind w:left="360"/>
        <w:jc w:val="both"/>
        <w:rPr>
          <w:b w:val="0"/>
          <w:bCs w:val="0"/>
        </w:rPr>
      </w:pPr>
      <w:r>
        <w:rPr>
          <w:b w:val="0"/>
          <w:bCs w:val="0"/>
        </w:rPr>
        <w:t>Signet’s</w:t>
      </w:r>
      <w:r w:rsidR="00FE40EA">
        <w:rPr>
          <w:b w:val="0"/>
          <w:bCs w:val="0"/>
        </w:rPr>
        <w:t xml:space="preserve"> main source of VOC</w:t>
      </w:r>
      <w:r w:rsidR="00584E9C">
        <w:rPr>
          <w:b w:val="0"/>
          <w:bCs w:val="0"/>
        </w:rPr>
        <w:t xml:space="preserve"> and HAP</w:t>
      </w:r>
      <w:r w:rsidR="00FE40EA">
        <w:rPr>
          <w:b w:val="0"/>
          <w:bCs w:val="0"/>
        </w:rPr>
        <w:t xml:space="preserve"> emissions </w:t>
      </w:r>
      <w:r w:rsidR="00584E9C">
        <w:rPr>
          <w:b w:val="0"/>
          <w:bCs w:val="0"/>
        </w:rPr>
        <w:t>are the</w:t>
      </w:r>
      <w:r w:rsidR="00FE40EA">
        <w:rPr>
          <w:b w:val="0"/>
          <w:bCs w:val="0"/>
        </w:rPr>
        <w:t xml:space="preserve"> </w:t>
      </w:r>
      <w:r>
        <w:rPr>
          <w:b w:val="0"/>
          <w:bCs w:val="0"/>
        </w:rPr>
        <w:t xml:space="preserve">surface coating </w:t>
      </w:r>
      <w:r w:rsidR="00FE40EA">
        <w:rPr>
          <w:b w:val="0"/>
          <w:bCs w:val="0"/>
        </w:rPr>
        <w:t>operations</w:t>
      </w:r>
      <w:r w:rsidR="00EE2C9D">
        <w:rPr>
          <w:b w:val="0"/>
          <w:bCs w:val="0"/>
        </w:rPr>
        <w:t xml:space="preserve">. </w:t>
      </w:r>
      <w:r w:rsidR="00FE40EA">
        <w:rPr>
          <w:b w:val="0"/>
          <w:bCs w:val="0"/>
        </w:rPr>
        <w:t xml:space="preserve"> </w:t>
      </w:r>
      <w:r>
        <w:rPr>
          <w:b w:val="0"/>
          <w:bCs w:val="0"/>
        </w:rPr>
        <w:t>However, t</w:t>
      </w:r>
      <w:r w:rsidR="007C66C6" w:rsidRPr="007C66C6">
        <w:rPr>
          <w:b w:val="0"/>
          <w:bCs w:val="0"/>
        </w:rPr>
        <w:t>he welding operations should not have been excluded from being subject to the HAP limit</w:t>
      </w:r>
      <w:r>
        <w:rPr>
          <w:b w:val="0"/>
          <w:bCs w:val="0"/>
        </w:rPr>
        <w:t>ation</w:t>
      </w:r>
      <w:r w:rsidR="00584E9C">
        <w:rPr>
          <w:b w:val="0"/>
          <w:bCs w:val="0"/>
        </w:rPr>
        <w:t>s</w:t>
      </w:r>
      <w:r w:rsidR="009861FD">
        <w:rPr>
          <w:b w:val="0"/>
          <w:bCs w:val="0"/>
        </w:rPr>
        <w:t xml:space="preserve">.  Therefore, the HAP limitations have been applied </w:t>
      </w:r>
      <w:r w:rsidR="004160AA">
        <w:rPr>
          <w:b w:val="0"/>
          <w:bCs w:val="0"/>
        </w:rPr>
        <w:t>facility-wide</w:t>
      </w:r>
      <w:r w:rsidR="009861FD">
        <w:rPr>
          <w:b w:val="0"/>
          <w:bCs w:val="0"/>
        </w:rPr>
        <w:t xml:space="preserve">, and the </w:t>
      </w:r>
      <w:r w:rsidR="004160AA">
        <w:rPr>
          <w:b w:val="0"/>
          <w:bCs w:val="0"/>
        </w:rPr>
        <w:t xml:space="preserve">aforementioned </w:t>
      </w:r>
      <w:r w:rsidR="009861FD">
        <w:rPr>
          <w:b w:val="0"/>
          <w:bCs w:val="0"/>
        </w:rPr>
        <w:t>limit</w:t>
      </w:r>
      <w:r w:rsidR="004160AA">
        <w:rPr>
          <w:b w:val="0"/>
          <w:bCs w:val="0"/>
        </w:rPr>
        <w:t>ations</w:t>
      </w:r>
      <w:r w:rsidR="009861FD">
        <w:rPr>
          <w:b w:val="0"/>
          <w:bCs w:val="0"/>
        </w:rPr>
        <w:t xml:space="preserve"> have been raised as follows</w:t>
      </w:r>
      <w:r w:rsidR="006D7846">
        <w:rPr>
          <w:b w:val="0"/>
          <w:bCs w:val="0"/>
        </w:rPr>
        <w:t xml:space="preserve"> (based on a rolling 12-month </w:t>
      </w:r>
      <w:r w:rsidR="004160AA">
        <w:rPr>
          <w:b w:val="0"/>
          <w:bCs w:val="0"/>
        </w:rPr>
        <w:t>total)</w:t>
      </w:r>
      <w:r w:rsidR="009861FD">
        <w:rPr>
          <w:b w:val="0"/>
          <w:bCs w:val="0"/>
        </w:rPr>
        <w:t>: 95.0 tpy for VOC</w:t>
      </w:r>
      <w:r w:rsidR="004160AA">
        <w:rPr>
          <w:b w:val="0"/>
          <w:bCs w:val="0"/>
        </w:rPr>
        <w:t>s</w:t>
      </w:r>
      <w:r w:rsidR="009861FD">
        <w:rPr>
          <w:b w:val="0"/>
          <w:bCs w:val="0"/>
        </w:rPr>
        <w:t>, 24.0 tpy for total HAPs, and 9.0 tpy for any single HAP.</w:t>
      </w:r>
    </w:p>
    <w:p w14:paraId="393A0A05" w14:textId="77777777" w:rsidR="0094670F" w:rsidRDefault="0094670F" w:rsidP="0094670F">
      <w:pPr>
        <w:pStyle w:val="Title"/>
        <w:jc w:val="both"/>
        <w:rPr>
          <w:b w:val="0"/>
          <w:bCs w:val="0"/>
        </w:rPr>
      </w:pPr>
    </w:p>
    <w:p w14:paraId="029F3D62" w14:textId="75277D56" w:rsidR="009861FD" w:rsidRDefault="009861FD" w:rsidP="00530A07">
      <w:pPr>
        <w:pStyle w:val="Title"/>
        <w:numPr>
          <w:ilvl w:val="0"/>
          <w:numId w:val="11"/>
        </w:numPr>
        <w:jc w:val="both"/>
        <w:rPr>
          <w:b w:val="0"/>
          <w:bCs w:val="0"/>
        </w:rPr>
      </w:pPr>
      <w:r>
        <w:rPr>
          <w:b w:val="0"/>
          <w:bCs w:val="0"/>
        </w:rPr>
        <w:t xml:space="preserve">Requirements to operate and maintain the filters at </w:t>
      </w:r>
      <w:r w:rsidR="0094670F">
        <w:rPr>
          <w:b w:val="0"/>
          <w:bCs w:val="0"/>
        </w:rPr>
        <w:t>E</w:t>
      </w:r>
      <w:r>
        <w:rPr>
          <w:b w:val="0"/>
          <w:bCs w:val="0"/>
        </w:rPr>
        <w:t xml:space="preserve">mission </w:t>
      </w:r>
      <w:r w:rsidR="0094670F">
        <w:rPr>
          <w:b w:val="0"/>
          <w:bCs w:val="0"/>
        </w:rPr>
        <w:t>P</w:t>
      </w:r>
      <w:r>
        <w:rPr>
          <w:b w:val="0"/>
          <w:bCs w:val="0"/>
        </w:rPr>
        <w:t xml:space="preserve">oint AA-002 </w:t>
      </w:r>
      <w:r w:rsidR="00952720">
        <w:rPr>
          <w:b w:val="0"/>
          <w:bCs w:val="0"/>
        </w:rPr>
        <w:t xml:space="preserve">according to the manufacturer’s specifications </w:t>
      </w:r>
      <w:r>
        <w:rPr>
          <w:b w:val="0"/>
          <w:bCs w:val="0"/>
        </w:rPr>
        <w:t>have been added.</w:t>
      </w:r>
    </w:p>
    <w:p w14:paraId="32028ABB" w14:textId="7ADBF893" w:rsidR="001D7E96" w:rsidRDefault="001D7E96" w:rsidP="001D7E96">
      <w:pPr>
        <w:pStyle w:val="Title"/>
        <w:jc w:val="left"/>
        <w:rPr>
          <w:b w:val="0"/>
          <w:bCs w:val="0"/>
        </w:rPr>
      </w:pPr>
    </w:p>
    <w:p w14:paraId="63DC0AD9" w14:textId="77777777" w:rsidR="008338FC" w:rsidRDefault="008338FC" w:rsidP="001D7E96">
      <w:pPr>
        <w:pStyle w:val="Title"/>
        <w:jc w:val="left"/>
        <w:rPr>
          <w:b w:val="0"/>
          <w:bCs w:val="0"/>
        </w:rPr>
      </w:pPr>
    </w:p>
    <w:p w14:paraId="7E9457B8" w14:textId="77777777" w:rsidR="00384B04" w:rsidRDefault="00384B04" w:rsidP="001D7E96">
      <w:pPr>
        <w:pStyle w:val="Title"/>
        <w:jc w:val="both"/>
        <w:rPr>
          <w:u w:val="single"/>
        </w:rPr>
      </w:pPr>
    </w:p>
    <w:p w14:paraId="2690EF45" w14:textId="450C292C" w:rsidR="001D7E96" w:rsidRDefault="001D7E96" w:rsidP="001D7E96">
      <w:pPr>
        <w:pStyle w:val="Title"/>
        <w:jc w:val="both"/>
        <w:rPr>
          <w:u w:val="single"/>
        </w:rPr>
      </w:pPr>
      <w:r>
        <w:rPr>
          <w:u w:val="single"/>
        </w:rPr>
        <w:lastRenderedPageBreak/>
        <w:t>EMISSION SUMMARY</w:t>
      </w:r>
    </w:p>
    <w:p w14:paraId="2137F18D" w14:textId="77777777" w:rsidR="001D7E96" w:rsidRDefault="001D7E96" w:rsidP="001D7E96">
      <w:pPr>
        <w:pStyle w:val="Title"/>
        <w:jc w:val="both"/>
        <w:rPr>
          <w:u w:val="single"/>
        </w:rPr>
      </w:pPr>
    </w:p>
    <w:p w14:paraId="3414DDDB" w14:textId="77777777" w:rsidR="00E97E27" w:rsidRPr="00E97E27" w:rsidRDefault="00E97E27" w:rsidP="00E97E27">
      <w:pPr>
        <w:keepNext/>
        <w:widowControl/>
        <w:rPr>
          <w:b/>
          <w:vertAlign w:val="superscript"/>
        </w:rPr>
      </w:pPr>
      <w:r w:rsidRPr="00E97E27">
        <w:rPr>
          <w:b/>
        </w:rPr>
        <w:t>Facility-Wide Potential-to-Emit Summary</w:t>
      </w:r>
      <w:r w:rsidRPr="00E97E27">
        <w:rPr>
          <w:b/>
          <w:vertAlign w:val="superscript"/>
        </w:rPr>
        <w:t>1</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8"/>
        <w:gridCol w:w="2160"/>
      </w:tblGrid>
      <w:tr w:rsidR="00E97E27" w:rsidRPr="00E97E27" w14:paraId="1BC5D948" w14:textId="77777777" w:rsidTr="00C574AD">
        <w:trPr>
          <w:tblHeader/>
        </w:trPr>
        <w:tc>
          <w:tcPr>
            <w:tcW w:w="3078" w:type="dxa"/>
            <w:tcBorders>
              <w:top w:val="double" w:sz="4" w:space="0" w:color="auto"/>
            </w:tcBorders>
            <w:shd w:val="clear" w:color="auto" w:fill="BFBFBF" w:themeFill="background1" w:themeFillShade="BF"/>
            <w:vAlign w:val="center"/>
          </w:tcPr>
          <w:p w14:paraId="1F8FF154" w14:textId="77777777" w:rsidR="00E97E27" w:rsidRPr="00E97E27" w:rsidRDefault="00E97E27" w:rsidP="00E97E27">
            <w:pPr>
              <w:keepNext/>
              <w:widowControl/>
              <w:spacing w:before="60" w:after="60"/>
              <w:jc w:val="center"/>
            </w:pPr>
            <w:r w:rsidRPr="00E97E27">
              <w:t>Pollutant</w:t>
            </w:r>
          </w:p>
        </w:tc>
        <w:tc>
          <w:tcPr>
            <w:tcW w:w="2160" w:type="dxa"/>
            <w:tcBorders>
              <w:top w:val="double" w:sz="4" w:space="0" w:color="auto"/>
            </w:tcBorders>
            <w:shd w:val="clear" w:color="auto" w:fill="BFBFBF" w:themeFill="background1" w:themeFillShade="BF"/>
            <w:vAlign w:val="center"/>
          </w:tcPr>
          <w:p w14:paraId="7029E407" w14:textId="77777777" w:rsidR="00E97E27" w:rsidRPr="00E97E27" w:rsidRDefault="00E97E27" w:rsidP="00E97E27">
            <w:pPr>
              <w:keepNext/>
              <w:widowControl/>
              <w:spacing w:before="60" w:after="60"/>
              <w:jc w:val="center"/>
            </w:pPr>
            <w:r w:rsidRPr="00E97E27">
              <w:t>PTE Emissions</w:t>
            </w:r>
          </w:p>
          <w:p w14:paraId="121DC972" w14:textId="77777777" w:rsidR="00E97E27" w:rsidRPr="00E97E27" w:rsidRDefault="00E97E27" w:rsidP="00E97E27">
            <w:pPr>
              <w:keepNext/>
              <w:widowControl/>
              <w:spacing w:before="60" w:after="60"/>
              <w:jc w:val="center"/>
            </w:pPr>
            <w:r w:rsidRPr="00E97E27">
              <w:t>(tons/yr)</w:t>
            </w:r>
          </w:p>
        </w:tc>
      </w:tr>
      <w:tr w:rsidR="00E97E27" w:rsidRPr="00E97E27" w14:paraId="421FFFE0" w14:textId="77777777" w:rsidTr="00C574AD">
        <w:tc>
          <w:tcPr>
            <w:tcW w:w="3078" w:type="dxa"/>
          </w:tcPr>
          <w:p w14:paraId="102D61D8" w14:textId="77777777" w:rsidR="00E97E27" w:rsidRPr="00E97E27" w:rsidRDefault="00E97E27" w:rsidP="00E97E27">
            <w:pPr>
              <w:widowControl/>
              <w:spacing w:before="60" w:after="60"/>
              <w:jc w:val="center"/>
            </w:pPr>
            <w:r w:rsidRPr="00E97E27">
              <w:t>Particulate Matter (TSP)</w:t>
            </w:r>
          </w:p>
        </w:tc>
        <w:tc>
          <w:tcPr>
            <w:tcW w:w="2160" w:type="dxa"/>
            <w:vAlign w:val="center"/>
          </w:tcPr>
          <w:p w14:paraId="380F6845" w14:textId="59A94DC2" w:rsidR="00E97E27" w:rsidRPr="00E97E27" w:rsidRDefault="00C537EC" w:rsidP="00E97E27">
            <w:pPr>
              <w:widowControl/>
              <w:spacing w:before="60" w:after="60"/>
              <w:jc w:val="center"/>
            </w:pPr>
            <w:r>
              <w:t>12.02</w:t>
            </w:r>
          </w:p>
        </w:tc>
      </w:tr>
      <w:tr w:rsidR="00E97E27" w:rsidRPr="00E97E27" w14:paraId="55337AFD" w14:textId="77777777" w:rsidTr="00C574AD">
        <w:tc>
          <w:tcPr>
            <w:tcW w:w="3078" w:type="dxa"/>
          </w:tcPr>
          <w:p w14:paraId="60A801ED" w14:textId="77777777" w:rsidR="00E97E27" w:rsidRPr="00E97E27" w:rsidRDefault="00E97E27" w:rsidP="00E97E27">
            <w:pPr>
              <w:widowControl/>
              <w:spacing w:before="60" w:after="60"/>
              <w:jc w:val="center"/>
              <w:rPr>
                <w:vertAlign w:val="subscript"/>
              </w:rPr>
            </w:pPr>
            <w:r w:rsidRPr="00E97E27">
              <w:t>PM</w:t>
            </w:r>
            <w:r w:rsidRPr="00E97E27">
              <w:rPr>
                <w:vertAlign w:val="subscript"/>
              </w:rPr>
              <w:t>10</w:t>
            </w:r>
          </w:p>
        </w:tc>
        <w:tc>
          <w:tcPr>
            <w:tcW w:w="2160" w:type="dxa"/>
            <w:vAlign w:val="center"/>
          </w:tcPr>
          <w:p w14:paraId="285EBADD" w14:textId="59B782D8" w:rsidR="00E97E27" w:rsidRPr="00E97E27" w:rsidRDefault="00B01374" w:rsidP="00E97E27">
            <w:pPr>
              <w:widowControl/>
              <w:spacing w:before="60" w:after="60"/>
              <w:jc w:val="center"/>
            </w:pPr>
            <w:r>
              <w:t>9.08</w:t>
            </w:r>
          </w:p>
        </w:tc>
      </w:tr>
      <w:tr w:rsidR="00E97E27" w:rsidRPr="00E97E27" w14:paraId="0240A545" w14:textId="77777777" w:rsidTr="00C574AD">
        <w:tc>
          <w:tcPr>
            <w:tcW w:w="3078" w:type="dxa"/>
          </w:tcPr>
          <w:p w14:paraId="3302196C" w14:textId="77777777" w:rsidR="00E97E27" w:rsidRPr="00E97E27" w:rsidRDefault="00E97E27" w:rsidP="00E97E27">
            <w:pPr>
              <w:widowControl/>
              <w:spacing w:before="60" w:after="60"/>
              <w:jc w:val="center"/>
              <w:rPr>
                <w:vertAlign w:val="subscript"/>
              </w:rPr>
            </w:pPr>
            <w:r w:rsidRPr="00E97E27">
              <w:t>PM</w:t>
            </w:r>
            <w:r w:rsidRPr="00E97E27">
              <w:rPr>
                <w:vertAlign w:val="subscript"/>
              </w:rPr>
              <w:t>2.5</w:t>
            </w:r>
          </w:p>
        </w:tc>
        <w:tc>
          <w:tcPr>
            <w:tcW w:w="2160" w:type="dxa"/>
            <w:vAlign w:val="center"/>
          </w:tcPr>
          <w:p w14:paraId="72961215" w14:textId="6CCD1AF9" w:rsidR="00E97E27" w:rsidRPr="00E97E27" w:rsidRDefault="00DF2A50" w:rsidP="00E97E27">
            <w:pPr>
              <w:widowControl/>
              <w:spacing w:before="60" w:after="60"/>
              <w:jc w:val="center"/>
            </w:pPr>
            <w:r>
              <w:t>6.96</w:t>
            </w:r>
          </w:p>
        </w:tc>
      </w:tr>
      <w:tr w:rsidR="00E97E27" w:rsidRPr="00E97E27" w14:paraId="5EE2D0F2" w14:textId="77777777" w:rsidTr="00C574AD">
        <w:tc>
          <w:tcPr>
            <w:tcW w:w="3078" w:type="dxa"/>
          </w:tcPr>
          <w:p w14:paraId="05110271" w14:textId="77777777" w:rsidR="00E97E27" w:rsidRPr="00E97E27" w:rsidRDefault="00E97E27" w:rsidP="00E97E27">
            <w:pPr>
              <w:widowControl/>
              <w:spacing w:before="60" w:after="60"/>
              <w:jc w:val="center"/>
            </w:pPr>
            <w:r w:rsidRPr="00E97E27">
              <w:t>Sulfur Dioxide (SO</w:t>
            </w:r>
            <w:r w:rsidRPr="00E97E27">
              <w:rPr>
                <w:vertAlign w:val="subscript"/>
              </w:rPr>
              <w:t>2</w:t>
            </w:r>
            <w:r w:rsidRPr="00E97E27">
              <w:t>)</w:t>
            </w:r>
          </w:p>
        </w:tc>
        <w:tc>
          <w:tcPr>
            <w:tcW w:w="2160" w:type="dxa"/>
            <w:vAlign w:val="center"/>
          </w:tcPr>
          <w:p w14:paraId="78974945" w14:textId="2906EF9A" w:rsidR="00E97E27" w:rsidRPr="00E97E27" w:rsidRDefault="00DF2A50" w:rsidP="00E97E27">
            <w:pPr>
              <w:widowControl/>
              <w:spacing w:before="60" w:after="60"/>
              <w:jc w:val="center"/>
            </w:pPr>
            <w:r>
              <w:t>—</w:t>
            </w:r>
          </w:p>
        </w:tc>
      </w:tr>
      <w:tr w:rsidR="00E97E27" w:rsidRPr="00E97E27" w14:paraId="26560461" w14:textId="77777777" w:rsidTr="00C574AD">
        <w:tc>
          <w:tcPr>
            <w:tcW w:w="3078" w:type="dxa"/>
          </w:tcPr>
          <w:p w14:paraId="3E76AC68" w14:textId="77777777" w:rsidR="00E97E27" w:rsidRPr="00E97E27" w:rsidRDefault="00E97E27" w:rsidP="00E97E27">
            <w:pPr>
              <w:widowControl/>
              <w:spacing w:before="60" w:after="60"/>
              <w:jc w:val="center"/>
            </w:pPr>
            <w:r w:rsidRPr="00E97E27">
              <w:t>Nitrogen Oxides (NO</w:t>
            </w:r>
            <w:r w:rsidRPr="00E97E27">
              <w:rPr>
                <w:vertAlign w:val="subscript"/>
              </w:rPr>
              <w:t>X</w:t>
            </w:r>
            <w:r w:rsidRPr="00E97E27">
              <w:t>)</w:t>
            </w:r>
          </w:p>
        </w:tc>
        <w:tc>
          <w:tcPr>
            <w:tcW w:w="2160" w:type="dxa"/>
            <w:vAlign w:val="center"/>
          </w:tcPr>
          <w:p w14:paraId="69C0D91C" w14:textId="1DEB8489" w:rsidR="00E97E27" w:rsidRPr="00E97E27" w:rsidRDefault="00C01060" w:rsidP="00E97E27">
            <w:pPr>
              <w:widowControl/>
              <w:spacing w:before="60" w:after="60"/>
              <w:jc w:val="center"/>
            </w:pPr>
            <w:r>
              <w:t>0.02</w:t>
            </w:r>
          </w:p>
        </w:tc>
      </w:tr>
      <w:tr w:rsidR="00E97E27" w:rsidRPr="00E97E27" w14:paraId="5BD1D85D" w14:textId="77777777" w:rsidTr="00C574AD">
        <w:tc>
          <w:tcPr>
            <w:tcW w:w="3078" w:type="dxa"/>
          </w:tcPr>
          <w:p w14:paraId="4CF2C4B8" w14:textId="77777777" w:rsidR="00E97E27" w:rsidRPr="00E97E27" w:rsidRDefault="00E97E27" w:rsidP="00E97E27">
            <w:pPr>
              <w:widowControl/>
              <w:spacing w:before="60" w:after="60"/>
              <w:jc w:val="center"/>
            </w:pPr>
            <w:r w:rsidRPr="00E97E27">
              <w:t>Carbon Monoxide (CO)</w:t>
            </w:r>
          </w:p>
        </w:tc>
        <w:tc>
          <w:tcPr>
            <w:tcW w:w="2160" w:type="dxa"/>
            <w:vAlign w:val="center"/>
          </w:tcPr>
          <w:p w14:paraId="1871ABA0" w14:textId="2FFFADFF" w:rsidR="00E97E27" w:rsidRPr="00E97E27" w:rsidRDefault="00C01060" w:rsidP="00E97E27">
            <w:pPr>
              <w:widowControl/>
              <w:spacing w:before="60" w:after="60"/>
              <w:jc w:val="center"/>
            </w:pPr>
            <w:r>
              <w:t>0.01</w:t>
            </w:r>
          </w:p>
        </w:tc>
      </w:tr>
      <w:tr w:rsidR="00E97E27" w:rsidRPr="00E97E27" w14:paraId="69D9BA71" w14:textId="77777777" w:rsidTr="00C574AD">
        <w:tc>
          <w:tcPr>
            <w:tcW w:w="3078" w:type="dxa"/>
          </w:tcPr>
          <w:p w14:paraId="1C664D51" w14:textId="77777777" w:rsidR="00E97E27" w:rsidRPr="00E97E27" w:rsidRDefault="00E97E27" w:rsidP="00E97E27">
            <w:pPr>
              <w:widowControl/>
              <w:spacing w:before="60" w:after="60"/>
              <w:jc w:val="center"/>
            </w:pPr>
            <w:r w:rsidRPr="00E97E27">
              <w:t>Volatile Organic Compounds (VOCs)</w:t>
            </w:r>
          </w:p>
        </w:tc>
        <w:tc>
          <w:tcPr>
            <w:tcW w:w="2160" w:type="dxa"/>
            <w:vAlign w:val="center"/>
          </w:tcPr>
          <w:p w14:paraId="1BB0D4A0" w14:textId="0EECF8FF" w:rsidR="00E97E27" w:rsidRPr="00E97E27" w:rsidRDefault="00A54AF5" w:rsidP="00E97E27">
            <w:pPr>
              <w:widowControl/>
              <w:spacing w:before="60" w:after="60"/>
              <w:jc w:val="center"/>
            </w:pPr>
            <w:r>
              <w:t>95.0</w:t>
            </w:r>
          </w:p>
        </w:tc>
      </w:tr>
      <w:tr w:rsidR="00E97E27" w:rsidRPr="00E97E27" w14:paraId="1948FB89" w14:textId="77777777" w:rsidTr="00C574AD">
        <w:tc>
          <w:tcPr>
            <w:tcW w:w="3078" w:type="dxa"/>
          </w:tcPr>
          <w:p w14:paraId="60D2635B" w14:textId="77777777" w:rsidR="00E97E27" w:rsidRPr="00E97E27" w:rsidRDefault="00E97E27" w:rsidP="00E97E27">
            <w:pPr>
              <w:widowControl/>
              <w:spacing w:before="60" w:after="60"/>
              <w:jc w:val="center"/>
            </w:pPr>
            <w:r w:rsidRPr="00E97E27">
              <w:t>Total Reduced Sulfur (TRS)</w:t>
            </w:r>
          </w:p>
        </w:tc>
        <w:tc>
          <w:tcPr>
            <w:tcW w:w="2160" w:type="dxa"/>
            <w:vAlign w:val="center"/>
          </w:tcPr>
          <w:p w14:paraId="023A7FE4" w14:textId="77777777" w:rsidR="00E97E27" w:rsidRPr="00E97E27" w:rsidRDefault="00E97E27" w:rsidP="00E97E27">
            <w:pPr>
              <w:widowControl/>
              <w:spacing w:before="60" w:after="60"/>
              <w:jc w:val="center"/>
            </w:pPr>
            <w:r w:rsidRPr="00E97E27">
              <w:t>—</w:t>
            </w:r>
          </w:p>
        </w:tc>
      </w:tr>
      <w:tr w:rsidR="00E97E27" w:rsidRPr="00E97E27" w14:paraId="1E678ACF" w14:textId="77777777" w:rsidTr="00C574AD">
        <w:tc>
          <w:tcPr>
            <w:tcW w:w="3078" w:type="dxa"/>
          </w:tcPr>
          <w:p w14:paraId="1FE688F8" w14:textId="77777777" w:rsidR="00E97E27" w:rsidRPr="00E97E27" w:rsidRDefault="00E97E27" w:rsidP="00E97E27">
            <w:pPr>
              <w:widowControl/>
              <w:spacing w:before="60" w:after="60"/>
              <w:jc w:val="center"/>
            </w:pPr>
            <w:r w:rsidRPr="00E97E27">
              <w:t>Lead</w:t>
            </w:r>
          </w:p>
        </w:tc>
        <w:tc>
          <w:tcPr>
            <w:tcW w:w="2160" w:type="dxa"/>
            <w:vAlign w:val="center"/>
          </w:tcPr>
          <w:p w14:paraId="6A216689" w14:textId="77777777" w:rsidR="00E97E27" w:rsidRPr="00E97E27" w:rsidRDefault="00E97E27" w:rsidP="00E97E27">
            <w:pPr>
              <w:widowControl/>
              <w:spacing w:before="60" w:after="60"/>
              <w:jc w:val="center"/>
            </w:pPr>
            <w:r w:rsidRPr="00E97E27">
              <w:t>0.86</w:t>
            </w:r>
          </w:p>
        </w:tc>
      </w:tr>
      <w:tr w:rsidR="00E97E27" w:rsidRPr="00E97E27" w14:paraId="382E0341" w14:textId="77777777" w:rsidTr="00C574AD">
        <w:tc>
          <w:tcPr>
            <w:tcW w:w="3078" w:type="dxa"/>
          </w:tcPr>
          <w:p w14:paraId="0544F667" w14:textId="77777777" w:rsidR="00E97E27" w:rsidRPr="00E97E27" w:rsidRDefault="00E97E27" w:rsidP="00E97E27">
            <w:pPr>
              <w:widowControl/>
              <w:spacing w:before="60" w:after="60"/>
              <w:jc w:val="center"/>
            </w:pPr>
            <w:r w:rsidRPr="00E97E27">
              <w:t>CFC/HCFC</w:t>
            </w:r>
          </w:p>
        </w:tc>
        <w:tc>
          <w:tcPr>
            <w:tcW w:w="2160" w:type="dxa"/>
            <w:vAlign w:val="center"/>
          </w:tcPr>
          <w:p w14:paraId="41AD80AB" w14:textId="77777777" w:rsidR="00E97E27" w:rsidRPr="00E97E27" w:rsidRDefault="00E97E27" w:rsidP="00E97E27">
            <w:pPr>
              <w:widowControl/>
              <w:spacing w:before="60" w:after="60"/>
              <w:jc w:val="center"/>
            </w:pPr>
            <w:r w:rsidRPr="00E97E27">
              <w:t>—</w:t>
            </w:r>
          </w:p>
        </w:tc>
      </w:tr>
      <w:tr w:rsidR="00E97E27" w:rsidRPr="00E97E27" w14:paraId="0114268D" w14:textId="77777777" w:rsidTr="00C574AD">
        <w:tc>
          <w:tcPr>
            <w:tcW w:w="3078" w:type="dxa"/>
            <w:tcBorders>
              <w:bottom w:val="double" w:sz="4" w:space="0" w:color="auto"/>
            </w:tcBorders>
          </w:tcPr>
          <w:p w14:paraId="583F9400" w14:textId="77777777" w:rsidR="00E97E27" w:rsidRPr="00E97E27" w:rsidRDefault="00E97E27" w:rsidP="00E97E27">
            <w:pPr>
              <w:widowControl/>
              <w:spacing w:before="60" w:after="60"/>
              <w:jc w:val="center"/>
            </w:pPr>
            <w:r w:rsidRPr="00E97E27">
              <w:t>Total HAPs</w:t>
            </w:r>
          </w:p>
        </w:tc>
        <w:tc>
          <w:tcPr>
            <w:tcW w:w="2160" w:type="dxa"/>
            <w:tcBorders>
              <w:bottom w:val="double" w:sz="4" w:space="0" w:color="auto"/>
            </w:tcBorders>
            <w:vAlign w:val="center"/>
          </w:tcPr>
          <w:p w14:paraId="1A1DB778" w14:textId="7D2BD67C" w:rsidR="00E97E27" w:rsidRPr="00E97E27" w:rsidRDefault="00A54AF5" w:rsidP="00E97E27">
            <w:pPr>
              <w:widowControl/>
              <w:spacing w:before="60" w:after="60"/>
              <w:jc w:val="center"/>
            </w:pPr>
            <w:r>
              <w:t>24</w:t>
            </w:r>
            <w:r w:rsidR="000A23D6">
              <w:t>.0</w:t>
            </w:r>
          </w:p>
        </w:tc>
      </w:tr>
    </w:tbl>
    <w:p w14:paraId="2E668ED2" w14:textId="7D17AC49" w:rsidR="00A064E9" w:rsidRDefault="00E97E27" w:rsidP="001D7E96">
      <w:pPr>
        <w:pStyle w:val="Title"/>
        <w:jc w:val="both"/>
        <w:rPr>
          <w:b w:val="0"/>
          <w:bCs w:val="0"/>
        </w:rPr>
      </w:pPr>
      <w:r w:rsidRPr="00E97E27">
        <w:rPr>
          <w:b w:val="0"/>
          <w:bCs w:val="0"/>
          <w:sz w:val="20"/>
          <w:vertAlign w:val="superscript"/>
        </w:rPr>
        <w:t>1</w:t>
      </w:r>
      <w:r w:rsidRPr="00E97E27">
        <w:rPr>
          <w:b w:val="0"/>
          <w:bCs w:val="0"/>
          <w:sz w:val="20"/>
        </w:rPr>
        <w:t xml:space="preserve"> The PTE emissions reflect any emission limits or enforceable restrictions included in the proposed permit</w:t>
      </w:r>
    </w:p>
    <w:p w14:paraId="2FEE736B" w14:textId="77777777" w:rsidR="001D7E96" w:rsidRDefault="001D7E96" w:rsidP="001D7E96">
      <w:pPr>
        <w:pStyle w:val="Title"/>
        <w:jc w:val="left"/>
        <w:rPr>
          <w:b w:val="0"/>
          <w:bCs w:val="0"/>
        </w:rPr>
      </w:pPr>
    </w:p>
    <w:p w14:paraId="69CE9B06" w14:textId="77777777" w:rsidR="001D7E96" w:rsidRDefault="001D7E96" w:rsidP="001D7E96">
      <w:pPr>
        <w:pStyle w:val="Title"/>
        <w:jc w:val="left"/>
        <w:rPr>
          <w:u w:val="single"/>
        </w:rPr>
      </w:pPr>
      <w:r>
        <w:rPr>
          <w:rFonts w:ascii="Tms Rmn" w:hAnsi="Tms Rmn" w:cs="Tms Rmn"/>
          <w:color w:val="000000"/>
          <w:u w:val="single"/>
        </w:rPr>
        <w:t>APPLICABLE/PROPOSED PERMIT LIMITATIONS</w:t>
      </w:r>
    </w:p>
    <w:p w14:paraId="361E1623" w14:textId="77777777" w:rsidR="001D7E96" w:rsidRDefault="001D7E96" w:rsidP="001D7E96">
      <w:pPr>
        <w:pStyle w:val="Title"/>
        <w:jc w:val="both"/>
        <w:rPr>
          <w:b w:val="0"/>
          <w:bCs w:val="0"/>
          <w:u w:val="single"/>
        </w:rPr>
      </w:pPr>
    </w:p>
    <w:p w14:paraId="3B441834" w14:textId="01E14598" w:rsidR="001D7E96" w:rsidRDefault="00834145" w:rsidP="001D7E96">
      <w:pPr>
        <w:pStyle w:val="BodyText2"/>
        <w:tabs>
          <w:tab w:val="left" w:pos="5220"/>
        </w:tabs>
        <w:spacing w:line="240" w:lineRule="auto"/>
        <w:rPr>
          <w:rFonts w:ascii="Times New Roman" w:hAnsi="Times New Roman" w:cs="Times New Roman"/>
          <w:color w:val="auto"/>
        </w:rPr>
      </w:pPr>
      <w:r>
        <w:rPr>
          <w:rFonts w:ascii="Times New Roman" w:hAnsi="Times New Roman" w:cs="Times New Roman"/>
          <w:color w:val="auto"/>
        </w:rPr>
        <w:t>T</w:t>
      </w:r>
      <w:r w:rsidR="0036747B">
        <w:rPr>
          <w:rFonts w:ascii="Times New Roman" w:hAnsi="Times New Roman" w:cs="Times New Roman"/>
          <w:color w:val="auto"/>
        </w:rPr>
        <w:t>he</w:t>
      </w:r>
      <w:r w:rsidR="00A064E9" w:rsidRPr="00A064E9">
        <w:rPr>
          <w:rFonts w:ascii="Times New Roman" w:hAnsi="Times New Roman" w:cs="Times New Roman"/>
          <w:color w:val="auto"/>
        </w:rPr>
        <w:t xml:space="preserve"> facility’s potential-to-emit </w:t>
      </w:r>
      <w:r w:rsidR="00A064E9">
        <w:rPr>
          <w:rFonts w:ascii="Times New Roman" w:hAnsi="Times New Roman" w:cs="Times New Roman"/>
          <w:color w:val="auto"/>
        </w:rPr>
        <w:t xml:space="preserve">exceeds the </w:t>
      </w:r>
      <w:r w:rsidR="0036747B">
        <w:rPr>
          <w:rFonts w:ascii="Times New Roman" w:hAnsi="Times New Roman" w:cs="Times New Roman"/>
          <w:color w:val="auto"/>
        </w:rPr>
        <w:t xml:space="preserve">Title V </w:t>
      </w:r>
      <w:r w:rsidR="00A064E9">
        <w:rPr>
          <w:rFonts w:ascii="Times New Roman" w:hAnsi="Times New Roman" w:cs="Times New Roman"/>
          <w:color w:val="auto"/>
        </w:rPr>
        <w:t>major sourc</w:t>
      </w:r>
      <w:r w:rsidR="0036747B">
        <w:rPr>
          <w:rFonts w:ascii="Times New Roman" w:hAnsi="Times New Roman" w:cs="Times New Roman"/>
          <w:color w:val="auto"/>
        </w:rPr>
        <w:t xml:space="preserve">e </w:t>
      </w:r>
      <w:r w:rsidR="00A064E9">
        <w:rPr>
          <w:rFonts w:ascii="Times New Roman" w:hAnsi="Times New Roman" w:cs="Times New Roman"/>
          <w:color w:val="auto"/>
        </w:rPr>
        <w:t xml:space="preserve">threshold </w:t>
      </w:r>
      <w:r w:rsidR="00737DF9">
        <w:rPr>
          <w:rFonts w:ascii="Times New Roman" w:hAnsi="Times New Roman" w:cs="Times New Roman"/>
          <w:color w:val="auto"/>
        </w:rPr>
        <w:t xml:space="preserve">of 100 tpy for volatile organic compounds (VOCs) and the threshold of </w:t>
      </w:r>
      <w:r w:rsidR="00A064E9">
        <w:rPr>
          <w:rFonts w:ascii="Times New Roman" w:hAnsi="Times New Roman" w:cs="Times New Roman"/>
          <w:color w:val="auto"/>
        </w:rPr>
        <w:t xml:space="preserve">25 tpy for </w:t>
      </w:r>
      <w:r w:rsidR="00737DF9">
        <w:rPr>
          <w:rFonts w:ascii="Times New Roman" w:hAnsi="Times New Roman" w:cs="Times New Roman"/>
          <w:color w:val="auto"/>
        </w:rPr>
        <w:t>total</w:t>
      </w:r>
      <w:r w:rsidR="00233EB3">
        <w:rPr>
          <w:rFonts w:ascii="Times New Roman" w:hAnsi="Times New Roman" w:cs="Times New Roman"/>
          <w:color w:val="auto"/>
        </w:rPr>
        <w:t xml:space="preserve"> </w:t>
      </w:r>
      <w:r w:rsidR="00A064E9" w:rsidRPr="00A064E9">
        <w:rPr>
          <w:rFonts w:ascii="Times New Roman" w:hAnsi="Times New Roman" w:cs="Times New Roman"/>
          <w:color w:val="auto"/>
        </w:rPr>
        <w:t>hazardous air pollutants (HAPs).</w:t>
      </w:r>
      <w:r w:rsidR="005D0EB6">
        <w:rPr>
          <w:rFonts w:ascii="Times New Roman" w:hAnsi="Times New Roman" w:cs="Times New Roman"/>
          <w:color w:val="auto"/>
        </w:rPr>
        <w:t xml:space="preserve">  </w:t>
      </w:r>
      <w:r w:rsidR="00F313A5">
        <w:rPr>
          <w:rFonts w:ascii="Times New Roman" w:hAnsi="Times New Roman" w:cs="Times New Roman"/>
          <w:color w:val="auto"/>
        </w:rPr>
        <w:t xml:space="preserve">  </w:t>
      </w:r>
      <w:r w:rsidR="00384B04">
        <w:rPr>
          <w:rFonts w:ascii="Times New Roman" w:hAnsi="Times New Roman" w:cs="Times New Roman"/>
          <w:color w:val="auto"/>
        </w:rPr>
        <w:t xml:space="preserve">  </w:t>
      </w:r>
      <w:r w:rsidR="00A064E9">
        <w:rPr>
          <w:rFonts w:ascii="Times New Roman" w:hAnsi="Times New Roman" w:cs="Times New Roman"/>
          <w:color w:val="auto"/>
        </w:rPr>
        <w:t xml:space="preserve">  </w:t>
      </w:r>
    </w:p>
    <w:p w14:paraId="3E61546A" w14:textId="77777777" w:rsidR="00A064E9" w:rsidRDefault="00A064E9" w:rsidP="001D7E96">
      <w:pPr>
        <w:pStyle w:val="BodyText2"/>
        <w:tabs>
          <w:tab w:val="left" w:pos="5220"/>
        </w:tabs>
        <w:spacing w:line="240" w:lineRule="auto"/>
        <w:rPr>
          <w:rFonts w:ascii="Times New Roman" w:hAnsi="Times New Roman" w:cs="Times New Roman"/>
          <w:color w:val="auto"/>
        </w:rPr>
      </w:pPr>
    </w:p>
    <w:p w14:paraId="36F031F6" w14:textId="77D24681" w:rsidR="00A064E9" w:rsidRDefault="00A064E9" w:rsidP="001D7E96">
      <w:pPr>
        <w:pStyle w:val="BodyText2"/>
        <w:tabs>
          <w:tab w:val="left" w:pos="5220"/>
        </w:tabs>
        <w:spacing w:line="240" w:lineRule="auto"/>
        <w:rPr>
          <w:rFonts w:ascii="Times New Roman" w:hAnsi="Times New Roman" w:cs="Times New Roman"/>
          <w:color w:val="auto"/>
        </w:rPr>
      </w:pPr>
      <w:r>
        <w:rPr>
          <w:rFonts w:ascii="Times New Roman" w:hAnsi="Times New Roman" w:cs="Times New Roman"/>
          <w:color w:val="auto"/>
        </w:rPr>
        <w:t>To maintain its status as a</w:t>
      </w:r>
      <w:r w:rsidR="00EE2C9D">
        <w:rPr>
          <w:rFonts w:ascii="Times New Roman" w:hAnsi="Times New Roman" w:cs="Times New Roman"/>
          <w:color w:val="auto"/>
        </w:rPr>
        <w:t xml:space="preserve"> </w:t>
      </w:r>
      <w:r w:rsidR="007C66C6">
        <w:rPr>
          <w:rFonts w:ascii="Times New Roman" w:hAnsi="Times New Roman" w:cs="Times New Roman"/>
          <w:color w:val="auto"/>
        </w:rPr>
        <w:t xml:space="preserve">synthetic </w:t>
      </w:r>
      <w:r w:rsidR="00EE2C9D">
        <w:rPr>
          <w:rFonts w:ascii="Times New Roman" w:hAnsi="Times New Roman" w:cs="Times New Roman"/>
          <w:color w:val="auto"/>
        </w:rPr>
        <w:t xml:space="preserve">minor source, </w:t>
      </w:r>
      <w:r w:rsidR="00233EB3">
        <w:rPr>
          <w:rFonts w:ascii="Times New Roman" w:hAnsi="Times New Roman" w:cs="Times New Roman"/>
          <w:color w:val="auto"/>
        </w:rPr>
        <w:t xml:space="preserve">Signet will limit operations in order to </w:t>
      </w:r>
      <w:r w:rsidR="0092667A">
        <w:rPr>
          <w:rFonts w:ascii="Times New Roman" w:hAnsi="Times New Roman" w:cs="Times New Roman"/>
          <w:color w:val="auto"/>
        </w:rPr>
        <w:t>comply with the modified</w:t>
      </w:r>
      <w:r w:rsidR="00233EB3">
        <w:rPr>
          <w:rFonts w:ascii="Times New Roman" w:hAnsi="Times New Roman" w:cs="Times New Roman"/>
          <w:color w:val="auto"/>
        </w:rPr>
        <w:t xml:space="preserve"> </w:t>
      </w:r>
      <w:r w:rsidR="00EE2C9D">
        <w:rPr>
          <w:rFonts w:ascii="Times New Roman" w:hAnsi="Times New Roman" w:cs="Times New Roman"/>
          <w:color w:val="auto"/>
        </w:rPr>
        <w:t xml:space="preserve">VOC and HAP limitations </w:t>
      </w:r>
      <w:r w:rsidR="0092667A">
        <w:rPr>
          <w:rFonts w:ascii="Times New Roman" w:hAnsi="Times New Roman" w:cs="Times New Roman"/>
          <w:color w:val="auto"/>
        </w:rPr>
        <w:t xml:space="preserve">mentioned in the </w:t>
      </w:r>
      <w:r w:rsidR="00260C04" w:rsidRPr="00260C04">
        <w:rPr>
          <w:rFonts w:ascii="Times New Roman" w:hAnsi="Times New Roman" w:cs="Times New Roman"/>
          <w:iCs/>
          <w:color w:val="auto"/>
          <w:u w:val="single"/>
        </w:rPr>
        <w:t>Permit Action Description</w:t>
      </w:r>
      <w:r w:rsidR="0092667A">
        <w:rPr>
          <w:rFonts w:ascii="Times New Roman" w:hAnsi="Times New Roman" w:cs="Times New Roman"/>
          <w:color w:val="auto"/>
        </w:rPr>
        <w:t xml:space="preserve"> section</w:t>
      </w:r>
      <w:r w:rsidR="00260C04">
        <w:rPr>
          <w:rFonts w:ascii="Times New Roman" w:hAnsi="Times New Roman" w:cs="Times New Roman"/>
          <w:color w:val="auto"/>
        </w:rPr>
        <w:t xml:space="preserve"> above</w:t>
      </w:r>
      <w:r w:rsidR="00EE2C9D">
        <w:rPr>
          <w:rFonts w:ascii="Times New Roman" w:hAnsi="Times New Roman" w:cs="Times New Roman"/>
          <w:color w:val="auto"/>
        </w:rPr>
        <w:t>.</w:t>
      </w:r>
      <w:r w:rsidR="0092667A">
        <w:rPr>
          <w:rFonts w:ascii="Times New Roman" w:hAnsi="Times New Roman" w:cs="Times New Roman"/>
          <w:color w:val="auto"/>
        </w:rPr>
        <w:t xml:space="preserve">  </w:t>
      </w:r>
      <w:r w:rsidR="0092667A">
        <w:t>C</w:t>
      </w:r>
      <w:r w:rsidR="0092667A" w:rsidRPr="00B96629">
        <w:t xml:space="preserve">ompliance </w:t>
      </w:r>
      <w:r w:rsidR="0092667A">
        <w:t xml:space="preserve">with the noted emission limitations </w:t>
      </w:r>
      <w:r w:rsidR="0092667A" w:rsidRPr="00B96629">
        <w:t>will be demonstrated through applicable monitoring and recordkeeping requirements outlined within the permit.</w:t>
      </w:r>
    </w:p>
    <w:p w14:paraId="37B980D6" w14:textId="77777777" w:rsidR="00EE2C9D" w:rsidRDefault="00EE2C9D" w:rsidP="001D7E96">
      <w:pPr>
        <w:pStyle w:val="BodyText2"/>
        <w:tabs>
          <w:tab w:val="left" w:pos="5220"/>
        </w:tabs>
        <w:spacing w:line="240" w:lineRule="auto"/>
        <w:rPr>
          <w:rFonts w:ascii="Times New Roman" w:hAnsi="Times New Roman" w:cs="Times New Roman"/>
          <w:color w:val="auto"/>
        </w:rPr>
      </w:pPr>
    </w:p>
    <w:p w14:paraId="62905CBE" w14:textId="00D203B8" w:rsidR="00EE2C9D" w:rsidRDefault="00EE2C9D" w:rsidP="001D7E96">
      <w:pPr>
        <w:pStyle w:val="BodyText2"/>
        <w:tabs>
          <w:tab w:val="left" w:pos="5220"/>
        </w:tabs>
        <w:spacing w:line="240" w:lineRule="auto"/>
        <w:rPr>
          <w:rFonts w:ascii="Times New Roman" w:hAnsi="Times New Roman" w:cs="Times New Roman"/>
          <w:color w:val="auto"/>
        </w:rPr>
      </w:pPr>
      <w:r w:rsidRPr="00347F2C">
        <w:rPr>
          <w:rFonts w:ascii="Times New Roman" w:hAnsi="Times New Roman" w:cs="Times New Roman"/>
          <w:color w:val="auto"/>
        </w:rPr>
        <w:t xml:space="preserve">Signet is also subject to the process weight PM </w:t>
      </w:r>
      <w:r w:rsidR="00042CF3" w:rsidRPr="00347F2C">
        <w:rPr>
          <w:rFonts w:ascii="Times New Roman" w:hAnsi="Times New Roman" w:cs="Times New Roman"/>
          <w:color w:val="auto"/>
        </w:rPr>
        <w:t xml:space="preserve">(filterable only) </w:t>
      </w:r>
      <w:r w:rsidRPr="00347F2C">
        <w:rPr>
          <w:rFonts w:ascii="Times New Roman" w:hAnsi="Times New Roman" w:cs="Times New Roman"/>
          <w:color w:val="auto"/>
        </w:rPr>
        <w:t xml:space="preserve">limitation in 11 Miss. Admin. Code Pt. 2, R. 1.3.F(1).  </w:t>
      </w:r>
      <w:r w:rsidR="00FB0304" w:rsidRPr="00347F2C">
        <w:rPr>
          <w:rFonts w:ascii="Times New Roman" w:hAnsi="Times New Roman" w:cs="Times New Roman"/>
          <w:color w:val="auto"/>
        </w:rPr>
        <w:t xml:space="preserve">As such, </w:t>
      </w:r>
      <w:r w:rsidRPr="00347F2C">
        <w:rPr>
          <w:rFonts w:ascii="Times New Roman" w:hAnsi="Times New Roman" w:cs="Times New Roman"/>
          <w:color w:val="auto"/>
        </w:rPr>
        <w:t xml:space="preserve">Signet will demonstrate compliance with this limit by operating and maintaining filters </w:t>
      </w:r>
      <w:r w:rsidR="003C72DE" w:rsidRPr="00347F2C">
        <w:rPr>
          <w:rFonts w:ascii="Times New Roman" w:hAnsi="Times New Roman" w:cs="Times New Roman"/>
          <w:color w:val="auto"/>
        </w:rPr>
        <w:t xml:space="preserve">at the paint booths (AA-002) </w:t>
      </w:r>
      <w:r w:rsidRPr="00347F2C">
        <w:rPr>
          <w:rFonts w:ascii="Times New Roman" w:hAnsi="Times New Roman" w:cs="Times New Roman"/>
          <w:color w:val="auto"/>
        </w:rPr>
        <w:t xml:space="preserve">and </w:t>
      </w:r>
      <w:r w:rsidR="00D63380" w:rsidRPr="00347F2C">
        <w:rPr>
          <w:rFonts w:ascii="Times New Roman" w:hAnsi="Times New Roman" w:cs="Times New Roman"/>
          <w:color w:val="auto"/>
        </w:rPr>
        <w:t>totally shrouding/enclosing</w:t>
      </w:r>
      <w:r w:rsidR="003C72DE" w:rsidRPr="00347F2C">
        <w:rPr>
          <w:rFonts w:ascii="Times New Roman" w:hAnsi="Times New Roman" w:cs="Times New Roman"/>
          <w:color w:val="auto"/>
        </w:rPr>
        <w:t xml:space="preserve"> the</w:t>
      </w:r>
      <w:r w:rsidRPr="00347F2C">
        <w:rPr>
          <w:rFonts w:ascii="Times New Roman" w:hAnsi="Times New Roman" w:cs="Times New Roman"/>
          <w:color w:val="auto"/>
        </w:rPr>
        <w:t xml:space="preserve"> blasting operations (AA-001)</w:t>
      </w:r>
      <w:r w:rsidR="00D63380" w:rsidRPr="00347F2C">
        <w:rPr>
          <w:rFonts w:ascii="Times New Roman" w:hAnsi="Times New Roman" w:cs="Times New Roman"/>
          <w:color w:val="auto"/>
        </w:rPr>
        <w:t xml:space="preserve"> to minimize and reduce PM emissions</w:t>
      </w:r>
      <w:r w:rsidRPr="00347F2C">
        <w:rPr>
          <w:rFonts w:ascii="Times New Roman" w:hAnsi="Times New Roman" w:cs="Times New Roman"/>
          <w:color w:val="auto"/>
        </w:rPr>
        <w:t>.</w:t>
      </w:r>
    </w:p>
    <w:p w14:paraId="5742DE68" w14:textId="77777777" w:rsidR="001D7E96" w:rsidRDefault="001D7E96" w:rsidP="001D7E96">
      <w:pPr>
        <w:pStyle w:val="Title"/>
        <w:jc w:val="both"/>
        <w:rPr>
          <w:b w:val="0"/>
          <w:bCs w:val="0"/>
        </w:rPr>
      </w:pPr>
    </w:p>
    <w:p w14:paraId="3B5B1F83" w14:textId="77777777" w:rsidR="001D7E96" w:rsidRDefault="001D7E96" w:rsidP="001D7E96">
      <w:pPr>
        <w:pStyle w:val="Title"/>
        <w:jc w:val="both"/>
        <w:rPr>
          <w:u w:val="single"/>
        </w:rPr>
      </w:pPr>
      <w:r>
        <w:rPr>
          <w:u w:val="single"/>
        </w:rPr>
        <w:t>NSPS APPLICABILITY</w:t>
      </w:r>
    </w:p>
    <w:p w14:paraId="31D4B55D" w14:textId="77777777" w:rsidR="001D7E96" w:rsidRDefault="001D7E96" w:rsidP="001D7E96">
      <w:pPr>
        <w:pStyle w:val="Title"/>
        <w:jc w:val="both"/>
        <w:rPr>
          <w:u w:val="single"/>
        </w:rPr>
      </w:pPr>
    </w:p>
    <w:p w14:paraId="483E8348" w14:textId="77777777" w:rsidR="001D7E96" w:rsidRDefault="003D05D7" w:rsidP="001D7E96">
      <w:pPr>
        <w:pStyle w:val="Title"/>
        <w:jc w:val="both"/>
        <w:rPr>
          <w:b w:val="0"/>
          <w:bCs w:val="0"/>
          <w:i/>
          <w:iCs/>
        </w:rPr>
      </w:pPr>
      <w:r w:rsidRPr="003D05D7">
        <w:t>40 CFR Part 60, Subpart Kb</w:t>
      </w:r>
      <w:r>
        <w:rPr>
          <w:b w:val="0"/>
          <w:bCs w:val="0"/>
        </w:rPr>
        <w:t xml:space="preserve"> – </w:t>
      </w:r>
      <w:r w:rsidRPr="003D05D7">
        <w:rPr>
          <w:b w:val="0"/>
          <w:bCs w:val="0"/>
          <w:i/>
          <w:iCs/>
        </w:rPr>
        <w:t>Standards of Performance for Volatile Organic Liquid Storage Vessels (Including Petroleum Liquid Storage Vessels) for Which Construction, Reconstruction, or Modification Commenced After July 23, 1984</w:t>
      </w:r>
    </w:p>
    <w:p w14:paraId="213F3A79" w14:textId="77777777" w:rsidR="000F2E85" w:rsidRDefault="000F2E85" w:rsidP="001D7E96">
      <w:pPr>
        <w:pStyle w:val="Title"/>
        <w:jc w:val="both"/>
        <w:rPr>
          <w:b w:val="0"/>
          <w:bCs w:val="0"/>
          <w:i/>
          <w:iCs/>
        </w:rPr>
      </w:pPr>
    </w:p>
    <w:p w14:paraId="11B2FB38" w14:textId="77777777" w:rsidR="003D05D7" w:rsidRPr="003D05D7" w:rsidRDefault="003D05D7" w:rsidP="001D7E96">
      <w:pPr>
        <w:pStyle w:val="Title"/>
        <w:jc w:val="both"/>
        <w:rPr>
          <w:b w:val="0"/>
          <w:bCs w:val="0"/>
        </w:rPr>
      </w:pPr>
      <w:r>
        <w:rPr>
          <w:b w:val="0"/>
          <w:bCs w:val="0"/>
        </w:rPr>
        <w:lastRenderedPageBreak/>
        <w:t xml:space="preserve">Subpart Kb is applicable to </w:t>
      </w:r>
      <w:r w:rsidRPr="003D05D7">
        <w:rPr>
          <w:b w:val="0"/>
          <w:bCs w:val="0"/>
        </w:rPr>
        <w:t>storage vessel</w:t>
      </w:r>
      <w:r>
        <w:rPr>
          <w:b w:val="0"/>
          <w:bCs w:val="0"/>
        </w:rPr>
        <w:t>s</w:t>
      </w:r>
      <w:r w:rsidRPr="003D05D7">
        <w:rPr>
          <w:b w:val="0"/>
          <w:bCs w:val="0"/>
        </w:rPr>
        <w:t xml:space="preserve"> with a capacity greater than or equal to 75 </w:t>
      </w:r>
      <w:r>
        <w:rPr>
          <w:b w:val="0"/>
          <w:bCs w:val="0"/>
        </w:rPr>
        <w:t>m</w:t>
      </w:r>
      <w:r>
        <w:rPr>
          <w:b w:val="0"/>
          <w:bCs w:val="0"/>
          <w:vertAlign w:val="superscript"/>
        </w:rPr>
        <w:t>3</w:t>
      </w:r>
      <w:r>
        <w:rPr>
          <w:b w:val="0"/>
          <w:bCs w:val="0"/>
        </w:rPr>
        <w:t xml:space="preserve"> (≈</w:t>
      </w:r>
      <w:r w:rsidRPr="003D05D7">
        <w:rPr>
          <w:b w:val="0"/>
          <w:bCs w:val="0"/>
        </w:rPr>
        <w:t>19812.9</w:t>
      </w:r>
      <w:r>
        <w:rPr>
          <w:b w:val="0"/>
          <w:bCs w:val="0"/>
        </w:rPr>
        <w:t xml:space="preserve"> gallons)</w:t>
      </w:r>
      <w:r w:rsidRPr="003D05D7">
        <w:rPr>
          <w:b w:val="0"/>
          <w:bCs w:val="0"/>
        </w:rPr>
        <w:t xml:space="preserve"> that is used to store volatile organic liquids (VOL) for which construction, reconstruction, or modification is commenced after July 23, 1984.</w:t>
      </w:r>
      <w:r>
        <w:rPr>
          <w:b w:val="0"/>
          <w:bCs w:val="0"/>
        </w:rPr>
        <w:t xml:space="preserve">  Signet does not have any storage tanks with capacities greater than 75 m</w:t>
      </w:r>
      <w:r>
        <w:rPr>
          <w:b w:val="0"/>
          <w:bCs w:val="0"/>
          <w:vertAlign w:val="superscript"/>
        </w:rPr>
        <w:t>3</w:t>
      </w:r>
      <w:r>
        <w:rPr>
          <w:b w:val="0"/>
          <w:bCs w:val="0"/>
        </w:rPr>
        <w:t>; therefore, Subpart Kb does not apply.</w:t>
      </w:r>
    </w:p>
    <w:p w14:paraId="1A5C3CDB" w14:textId="77777777" w:rsidR="001D7E96" w:rsidRDefault="001D7E96" w:rsidP="001D7E96">
      <w:pPr>
        <w:pStyle w:val="Title"/>
        <w:jc w:val="both"/>
        <w:rPr>
          <w:b w:val="0"/>
          <w:bCs w:val="0"/>
        </w:rPr>
      </w:pPr>
    </w:p>
    <w:p w14:paraId="5F976929" w14:textId="77777777" w:rsidR="001D7E96" w:rsidRDefault="001D7E96" w:rsidP="001D7E96">
      <w:pPr>
        <w:pStyle w:val="Title"/>
        <w:jc w:val="both"/>
        <w:rPr>
          <w:u w:val="single"/>
        </w:rPr>
      </w:pPr>
      <w:r>
        <w:rPr>
          <w:u w:val="single"/>
        </w:rPr>
        <w:t>MACT APPLICABILITY</w:t>
      </w:r>
    </w:p>
    <w:p w14:paraId="4EAA2E4C" w14:textId="77777777" w:rsidR="0012377D" w:rsidRPr="00952720" w:rsidRDefault="0012377D" w:rsidP="001D7E96">
      <w:pPr>
        <w:pStyle w:val="Title"/>
        <w:jc w:val="both"/>
        <w:rPr>
          <w:b w:val="0"/>
          <w:bCs w:val="0"/>
        </w:rPr>
      </w:pPr>
      <w:r>
        <w:rPr>
          <w:b w:val="0"/>
          <w:bCs w:val="0"/>
        </w:rPr>
        <w:t>Signet</w:t>
      </w:r>
      <w:r w:rsidRPr="0012377D">
        <w:rPr>
          <w:b w:val="0"/>
          <w:bCs w:val="0"/>
        </w:rPr>
        <w:t xml:space="preserve"> has federally enforceable limitations in place that restrict HAP emissions below the </w:t>
      </w:r>
      <w:r w:rsidR="00FB0304">
        <w:rPr>
          <w:b w:val="0"/>
          <w:bCs w:val="0"/>
        </w:rPr>
        <w:t xml:space="preserve">applicable </w:t>
      </w:r>
      <w:r w:rsidRPr="0012377D">
        <w:rPr>
          <w:b w:val="0"/>
          <w:bCs w:val="0"/>
        </w:rPr>
        <w:t>Title V thresholds.  Therefore, the facility is considered an area source of HAPs.</w:t>
      </w:r>
    </w:p>
    <w:p w14:paraId="71BF02BB" w14:textId="77777777" w:rsidR="00952720" w:rsidRDefault="00952720" w:rsidP="00952720">
      <w:pPr>
        <w:pStyle w:val="Title"/>
        <w:ind w:left="360"/>
        <w:jc w:val="left"/>
        <w:rPr>
          <w:b w:val="0"/>
          <w:bCs w:val="0"/>
        </w:rPr>
      </w:pPr>
    </w:p>
    <w:p w14:paraId="50F2808D" w14:textId="77777777" w:rsidR="009715D5" w:rsidRDefault="00952720" w:rsidP="00450468">
      <w:pPr>
        <w:pStyle w:val="Title"/>
        <w:jc w:val="both"/>
        <w:rPr>
          <w:rFonts w:ascii="Tms Rmn" w:hAnsi="Tms Rmn"/>
          <w:b w:val="0"/>
          <w:i/>
          <w:color w:val="000000"/>
          <w:shd w:val="clear" w:color="auto" w:fill="FFFFFF"/>
        </w:rPr>
      </w:pPr>
      <w:r w:rsidRPr="0012377D">
        <w:rPr>
          <w:rFonts w:ascii="Tms Rmn" w:hAnsi="Tms Rmn"/>
          <w:bCs w:val="0"/>
          <w:iCs/>
          <w:color w:val="000000"/>
          <w:shd w:val="clear" w:color="auto" w:fill="FFFFFF"/>
        </w:rPr>
        <w:t>40 CFR Part 63, Subpart CCCCCC</w:t>
      </w:r>
      <w:r w:rsidRPr="00A17BE3">
        <w:rPr>
          <w:rFonts w:ascii="Tms Rmn" w:hAnsi="Tms Rmn"/>
          <w:b w:val="0"/>
          <w:i/>
          <w:color w:val="000000"/>
          <w:shd w:val="clear" w:color="auto" w:fill="FFFFFF"/>
        </w:rPr>
        <w:t xml:space="preserve"> – National Emission Standards for Hazardous Air Pollutants for Source Category: Gasoline Dispensing Facilities</w:t>
      </w:r>
    </w:p>
    <w:p w14:paraId="69B87DF3" w14:textId="20EA20A1" w:rsidR="00952720" w:rsidRPr="009715D5" w:rsidRDefault="00952720" w:rsidP="00450468">
      <w:pPr>
        <w:pStyle w:val="Title"/>
        <w:jc w:val="both"/>
        <w:rPr>
          <w:rFonts w:ascii="Tms Rmn" w:hAnsi="Tms Rmn"/>
          <w:b w:val="0"/>
          <w:i/>
          <w:color w:val="000000"/>
          <w:shd w:val="clear" w:color="auto" w:fill="FFFFFF"/>
        </w:rPr>
      </w:pPr>
      <w:r>
        <w:rPr>
          <w:rFonts w:ascii="Tms Rmn" w:hAnsi="Tms Rmn"/>
          <w:b w:val="0"/>
          <w:color w:val="000000"/>
          <w:shd w:val="clear" w:color="auto" w:fill="FFFFFF"/>
        </w:rPr>
        <w:t>Subpart CCCCCC is applicable to gasoline dispensing facilities located at area sources.  Because Signet is an area source of HAPs, Signet’s 1,500-gallon gasoline storage tank is subject to Subpart CCCCCC.</w:t>
      </w:r>
    </w:p>
    <w:p w14:paraId="65C4C7A4" w14:textId="77777777" w:rsidR="00952720" w:rsidRDefault="00952720" w:rsidP="0012377D">
      <w:pPr>
        <w:pStyle w:val="Title"/>
        <w:jc w:val="both"/>
        <w:rPr>
          <w:iCs/>
        </w:rPr>
      </w:pPr>
    </w:p>
    <w:p w14:paraId="492BBBCA" w14:textId="77777777" w:rsidR="000F2E85" w:rsidRDefault="00952720" w:rsidP="00450468">
      <w:pPr>
        <w:pStyle w:val="Title"/>
        <w:jc w:val="both"/>
        <w:rPr>
          <w:b w:val="0"/>
          <w:bCs w:val="0"/>
          <w:i/>
        </w:rPr>
      </w:pPr>
      <w:r w:rsidRPr="00FB0304">
        <w:rPr>
          <w:iCs/>
        </w:rPr>
        <w:t>40 CFR Part 63, Subpart HHHHHH</w:t>
      </w:r>
      <w:r w:rsidRPr="00FB0304">
        <w:rPr>
          <w:b w:val="0"/>
          <w:bCs w:val="0"/>
          <w:i/>
        </w:rPr>
        <w:t xml:space="preserve"> – National Emission Standards for Hazardous Air Pollutants: Paint Stripping and Miscellaneous Surface Coating Operations at Area Sources</w:t>
      </w:r>
    </w:p>
    <w:p w14:paraId="2DD00CBA" w14:textId="589CF2D6" w:rsidR="00952720" w:rsidRDefault="00952720" w:rsidP="00952720">
      <w:pPr>
        <w:pStyle w:val="Title"/>
        <w:jc w:val="left"/>
        <w:rPr>
          <w:b w:val="0"/>
          <w:bCs w:val="0"/>
          <w:i/>
        </w:rPr>
      </w:pPr>
      <w:r>
        <w:rPr>
          <w:b w:val="0"/>
          <w:bCs w:val="0"/>
          <w:i/>
        </w:rPr>
        <w:t xml:space="preserve">  </w:t>
      </w:r>
    </w:p>
    <w:p w14:paraId="2184F4F8" w14:textId="77777777" w:rsidR="00952720" w:rsidRDefault="00952720" w:rsidP="00450468">
      <w:pPr>
        <w:pStyle w:val="Title"/>
        <w:jc w:val="both"/>
        <w:rPr>
          <w:b w:val="0"/>
          <w:bCs w:val="0"/>
        </w:rPr>
      </w:pPr>
      <w:r>
        <w:rPr>
          <w:b w:val="0"/>
          <w:bCs w:val="0"/>
        </w:rPr>
        <w:t xml:space="preserve">Signet </w:t>
      </w:r>
      <w:r w:rsidRPr="00B20CFC">
        <w:rPr>
          <w:b w:val="0"/>
          <w:bCs w:val="0"/>
        </w:rPr>
        <w:t xml:space="preserve">does perform surface coating operations and is classified as </w:t>
      </w:r>
      <w:r>
        <w:rPr>
          <w:b w:val="0"/>
          <w:bCs w:val="0"/>
        </w:rPr>
        <w:t xml:space="preserve">an </w:t>
      </w:r>
      <w:r w:rsidRPr="00B20CFC">
        <w:rPr>
          <w:b w:val="0"/>
          <w:bCs w:val="0"/>
        </w:rPr>
        <w:t>area source</w:t>
      </w:r>
      <w:r>
        <w:rPr>
          <w:b w:val="0"/>
          <w:bCs w:val="0"/>
        </w:rPr>
        <w:t xml:space="preserve"> of HAPs</w:t>
      </w:r>
      <w:r w:rsidRPr="00B20CFC">
        <w:rPr>
          <w:b w:val="0"/>
          <w:bCs w:val="0"/>
        </w:rPr>
        <w:t>.</w:t>
      </w:r>
      <w:r>
        <w:rPr>
          <w:b w:val="0"/>
          <w:bCs w:val="0"/>
        </w:rPr>
        <w:t xml:space="preserve">  However, the coatings used at Signet do not contain the target HAPs (</w:t>
      </w:r>
      <w:r w:rsidR="007C66C6">
        <w:rPr>
          <w:b w:val="0"/>
          <w:bCs w:val="0"/>
        </w:rPr>
        <w:t>c</w:t>
      </w:r>
      <w:r w:rsidRPr="00B20CFC">
        <w:rPr>
          <w:b w:val="0"/>
          <w:bCs w:val="0"/>
        </w:rPr>
        <w:t>hromium, lead,</w:t>
      </w:r>
      <w:r>
        <w:rPr>
          <w:b w:val="0"/>
          <w:bCs w:val="0"/>
        </w:rPr>
        <w:t xml:space="preserve"> </w:t>
      </w:r>
      <w:r w:rsidRPr="00B20CFC">
        <w:rPr>
          <w:b w:val="0"/>
          <w:bCs w:val="0"/>
        </w:rPr>
        <w:t>manganese</w:t>
      </w:r>
      <w:r>
        <w:rPr>
          <w:b w:val="0"/>
          <w:bCs w:val="0"/>
        </w:rPr>
        <w:t xml:space="preserve">, </w:t>
      </w:r>
      <w:r w:rsidRPr="00B20CFC">
        <w:rPr>
          <w:b w:val="0"/>
          <w:bCs w:val="0"/>
        </w:rPr>
        <w:t>nickel</w:t>
      </w:r>
      <w:r>
        <w:rPr>
          <w:b w:val="0"/>
          <w:bCs w:val="0"/>
        </w:rPr>
        <w:t>,</w:t>
      </w:r>
      <w:r w:rsidRPr="00B20CFC">
        <w:rPr>
          <w:b w:val="0"/>
          <w:bCs w:val="0"/>
        </w:rPr>
        <w:t xml:space="preserve"> or cadmium</w:t>
      </w:r>
      <w:r>
        <w:rPr>
          <w:b w:val="0"/>
          <w:bCs w:val="0"/>
        </w:rPr>
        <w:t xml:space="preserve">); therefore, </w:t>
      </w:r>
      <w:r w:rsidRPr="00B20CFC">
        <w:rPr>
          <w:b w:val="0"/>
          <w:bCs w:val="0"/>
        </w:rPr>
        <w:t xml:space="preserve">Subpart HHHHHH </w:t>
      </w:r>
      <w:r>
        <w:rPr>
          <w:b w:val="0"/>
          <w:bCs w:val="0"/>
        </w:rPr>
        <w:t>does not apply</w:t>
      </w:r>
      <w:r w:rsidRPr="00B20CFC">
        <w:rPr>
          <w:b w:val="0"/>
          <w:bCs w:val="0"/>
        </w:rPr>
        <w:t>.</w:t>
      </w:r>
    </w:p>
    <w:p w14:paraId="04B686D2" w14:textId="77777777" w:rsidR="00952720" w:rsidRDefault="00952720" w:rsidP="00952720">
      <w:pPr>
        <w:pStyle w:val="Title"/>
        <w:jc w:val="left"/>
        <w:rPr>
          <w:b w:val="0"/>
          <w:bCs w:val="0"/>
        </w:rPr>
      </w:pPr>
    </w:p>
    <w:p w14:paraId="695EC6A8" w14:textId="77777777" w:rsidR="000F2E85" w:rsidRDefault="00952720" w:rsidP="00450468">
      <w:pPr>
        <w:pStyle w:val="Title"/>
        <w:jc w:val="both"/>
        <w:rPr>
          <w:b w:val="0"/>
          <w:bCs w:val="0"/>
        </w:rPr>
      </w:pPr>
      <w:r w:rsidRPr="0012377D">
        <w:rPr>
          <w:iCs/>
        </w:rPr>
        <w:t>40 CFR Part 63, Subpart MMMM</w:t>
      </w:r>
      <w:r w:rsidRPr="00B20CFC">
        <w:rPr>
          <w:b w:val="0"/>
          <w:bCs w:val="0"/>
          <w:i/>
        </w:rPr>
        <w:t xml:space="preserve"> – National Emission Standards for Hazardous Air Pollutants for Surface Coating of Miscellaneous Metal Parts and Products</w:t>
      </w:r>
    </w:p>
    <w:p w14:paraId="73F806DA" w14:textId="7F198027" w:rsidR="00952720" w:rsidRDefault="00952720" w:rsidP="00952720">
      <w:pPr>
        <w:pStyle w:val="Title"/>
        <w:jc w:val="left"/>
        <w:rPr>
          <w:b w:val="0"/>
          <w:bCs w:val="0"/>
        </w:rPr>
      </w:pPr>
      <w:r>
        <w:rPr>
          <w:b w:val="0"/>
          <w:bCs w:val="0"/>
        </w:rPr>
        <w:t xml:space="preserve">  </w:t>
      </w:r>
    </w:p>
    <w:p w14:paraId="0D2BC1A6" w14:textId="77777777" w:rsidR="00952720" w:rsidRDefault="00952720" w:rsidP="00450468">
      <w:pPr>
        <w:pStyle w:val="Title"/>
        <w:jc w:val="both"/>
        <w:rPr>
          <w:b w:val="0"/>
          <w:bCs w:val="0"/>
        </w:rPr>
      </w:pPr>
      <w:r>
        <w:rPr>
          <w:b w:val="0"/>
          <w:bCs w:val="0"/>
        </w:rPr>
        <w:t>Subpart MMMM is applicable to facilities which are a major source of HAPs.  Signet is not a major source of HAPs; therefore, Subpart MMMM does not apply</w:t>
      </w:r>
    </w:p>
    <w:p w14:paraId="62B0B8DF" w14:textId="77777777" w:rsidR="00952720" w:rsidRDefault="00952720" w:rsidP="0012377D">
      <w:pPr>
        <w:pStyle w:val="Title"/>
        <w:jc w:val="both"/>
        <w:rPr>
          <w:iCs/>
        </w:rPr>
      </w:pPr>
    </w:p>
    <w:p w14:paraId="30B12C5D" w14:textId="77777777" w:rsidR="0012377D" w:rsidRDefault="00010778" w:rsidP="0012377D">
      <w:pPr>
        <w:pStyle w:val="Title"/>
        <w:jc w:val="both"/>
        <w:rPr>
          <w:b w:val="0"/>
          <w:bCs w:val="0"/>
          <w:i/>
        </w:rPr>
      </w:pPr>
      <w:r w:rsidRPr="0012377D">
        <w:rPr>
          <w:iCs/>
        </w:rPr>
        <w:t>40 CFR Part 63, Subpart VVVV</w:t>
      </w:r>
      <w:r>
        <w:rPr>
          <w:b w:val="0"/>
          <w:bCs w:val="0"/>
          <w:i/>
        </w:rPr>
        <w:t xml:space="preserve"> – National Emission Standards for Hazardous Air Pollutant</w:t>
      </w:r>
      <w:r w:rsidR="0012377D">
        <w:rPr>
          <w:b w:val="0"/>
          <w:bCs w:val="0"/>
          <w:i/>
        </w:rPr>
        <w:t>s</w:t>
      </w:r>
      <w:r>
        <w:rPr>
          <w:b w:val="0"/>
          <w:bCs w:val="0"/>
          <w:i/>
        </w:rPr>
        <w:t xml:space="preserve"> for Boat Manufacturing</w:t>
      </w:r>
    </w:p>
    <w:p w14:paraId="17FFAE19" w14:textId="77777777" w:rsidR="000F2E85" w:rsidRDefault="000F2E85" w:rsidP="0012377D">
      <w:pPr>
        <w:pStyle w:val="Title"/>
        <w:jc w:val="both"/>
        <w:rPr>
          <w:b w:val="0"/>
          <w:bCs w:val="0"/>
          <w:i/>
        </w:rPr>
      </w:pPr>
    </w:p>
    <w:p w14:paraId="46C6C568" w14:textId="77777777" w:rsidR="00010778" w:rsidRDefault="00010778" w:rsidP="0012377D">
      <w:pPr>
        <w:pStyle w:val="Title"/>
        <w:jc w:val="both"/>
        <w:rPr>
          <w:b w:val="0"/>
          <w:bCs w:val="0"/>
        </w:rPr>
      </w:pPr>
      <w:r>
        <w:rPr>
          <w:b w:val="0"/>
          <w:bCs w:val="0"/>
        </w:rPr>
        <w:t xml:space="preserve">Subpart VVVV </w:t>
      </w:r>
      <w:r w:rsidR="0012377D">
        <w:rPr>
          <w:b w:val="0"/>
          <w:bCs w:val="0"/>
        </w:rPr>
        <w:t>is</w:t>
      </w:r>
      <w:r>
        <w:rPr>
          <w:b w:val="0"/>
          <w:bCs w:val="0"/>
        </w:rPr>
        <w:t xml:space="preserve"> applicable to boat manufacturing facilities</w:t>
      </w:r>
      <w:r w:rsidR="0012377D">
        <w:rPr>
          <w:b w:val="0"/>
          <w:bCs w:val="0"/>
        </w:rPr>
        <w:t xml:space="preserve"> </w:t>
      </w:r>
      <w:r>
        <w:rPr>
          <w:b w:val="0"/>
          <w:bCs w:val="0"/>
        </w:rPr>
        <w:t xml:space="preserve">that are a major source of HAPs. </w:t>
      </w:r>
      <w:r w:rsidR="0012377D">
        <w:rPr>
          <w:b w:val="0"/>
          <w:bCs w:val="0"/>
        </w:rPr>
        <w:t>Signet is not a major source of HAPs; therefore, Subpart VVVV does not apply.</w:t>
      </w:r>
      <w:r>
        <w:rPr>
          <w:b w:val="0"/>
          <w:bCs w:val="0"/>
        </w:rPr>
        <w:t xml:space="preserve"> </w:t>
      </w:r>
    </w:p>
    <w:p w14:paraId="528FF5D4" w14:textId="77777777" w:rsidR="00010778" w:rsidRPr="00964E1A" w:rsidRDefault="00010778" w:rsidP="00952720">
      <w:pPr>
        <w:pStyle w:val="Title"/>
        <w:jc w:val="left"/>
        <w:rPr>
          <w:b w:val="0"/>
          <w:bCs w:val="0"/>
        </w:rPr>
      </w:pPr>
    </w:p>
    <w:p w14:paraId="77D6B80E" w14:textId="77777777" w:rsidR="00010778" w:rsidRDefault="00010778" w:rsidP="00450468">
      <w:pPr>
        <w:pStyle w:val="Title"/>
        <w:jc w:val="both"/>
        <w:rPr>
          <w:b w:val="0"/>
          <w:bCs w:val="0"/>
          <w:i/>
        </w:rPr>
      </w:pPr>
      <w:r w:rsidRPr="003D05D7">
        <w:rPr>
          <w:iCs/>
        </w:rPr>
        <w:t xml:space="preserve">40 CFR Part 63, Subpart XXXXXX </w:t>
      </w:r>
      <w:r w:rsidRPr="00B20CFC">
        <w:rPr>
          <w:b w:val="0"/>
          <w:bCs w:val="0"/>
          <w:i/>
        </w:rPr>
        <w:t>– National Emission Standards for Hazardous Air Pollutants Area Source Standards for Nine Fabrication and Finishing Source Categories</w:t>
      </w:r>
    </w:p>
    <w:p w14:paraId="035FDC76" w14:textId="77777777" w:rsidR="000F2E85" w:rsidRPr="00B20CFC" w:rsidRDefault="000F2E85" w:rsidP="003D05D7">
      <w:pPr>
        <w:pStyle w:val="Title"/>
        <w:jc w:val="left"/>
        <w:rPr>
          <w:b w:val="0"/>
          <w:bCs w:val="0"/>
          <w:i/>
        </w:rPr>
      </w:pPr>
    </w:p>
    <w:p w14:paraId="0F995996" w14:textId="770ED07A" w:rsidR="00A11EAD" w:rsidRDefault="00952720">
      <w:pPr>
        <w:pStyle w:val="Title"/>
        <w:jc w:val="both"/>
        <w:rPr>
          <w:b w:val="0"/>
          <w:bCs w:val="0"/>
        </w:rPr>
      </w:pPr>
      <w:r>
        <w:rPr>
          <w:b w:val="0"/>
          <w:bCs w:val="0"/>
        </w:rPr>
        <w:t>Subpart XXXXXX is applicable to</w:t>
      </w:r>
      <w:r w:rsidRPr="00952720">
        <w:rPr>
          <w:b w:val="0"/>
          <w:bCs w:val="0"/>
        </w:rPr>
        <w:t xml:space="preserve"> area source</w:t>
      </w:r>
      <w:r>
        <w:rPr>
          <w:b w:val="0"/>
          <w:bCs w:val="0"/>
        </w:rPr>
        <w:t>s</w:t>
      </w:r>
      <w:r w:rsidRPr="00952720">
        <w:rPr>
          <w:b w:val="0"/>
          <w:bCs w:val="0"/>
        </w:rPr>
        <w:t xml:space="preserve"> that </w:t>
      </w:r>
      <w:r>
        <w:rPr>
          <w:b w:val="0"/>
          <w:bCs w:val="0"/>
        </w:rPr>
        <w:t>are</w:t>
      </w:r>
      <w:r w:rsidRPr="00952720">
        <w:rPr>
          <w:b w:val="0"/>
          <w:bCs w:val="0"/>
        </w:rPr>
        <w:t xml:space="preserve"> primarily engaged in the operations in one of the nine source categories listed</w:t>
      </w:r>
      <w:r>
        <w:rPr>
          <w:b w:val="0"/>
          <w:bCs w:val="0"/>
        </w:rPr>
        <w:t>.  Signet’s operations do not fall under any of the source categories</w:t>
      </w:r>
      <w:r w:rsidR="00FB0304">
        <w:rPr>
          <w:b w:val="0"/>
          <w:bCs w:val="0"/>
        </w:rPr>
        <w:t xml:space="preserve"> listed within the subpart</w:t>
      </w:r>
      <w:r>
        <w:rPr>
          <w:b w:val="0"/>
          <w:bCs w:val="0"/>
        </w:rPr>
        <w:t>; therefore, Subpart XXXXXX does not apply.</w:t>
      </w:r>
    </w:p>
    <w:p w14:paraId="090E843F" w14:textId="77777777" w:rsidR="00A11EAD" w:rsidRDefault="00A11EAD">
      <w:pPr>
        <w:pStyle w:val="Title"/>
        <w:jc w:val="both"/>
        <w:rPr>
          <w:b w:val="0"/>
          <w:bCs w:val="0"/>
        </w:rPr>
      </w:pPr>
    </w:p>
    <w:p w14:paraId="0CF41392" w14:textId="77777777" w:rsidR="00AE785C" w:rsidRDefault="00AE785C">
      <w:pPr>
        <w:spacing w:line="240" w:lineRule="atLeast"/>
        <w:rPr>
          <w:rFonts w:ascii="Tms Rmn" w:hAnsi="Tms Rmn" w:cs="Tms Rmn"/>
          <w:b/>
          <w:bCs/>
          <w:color w:val="000000"/>
          <w:u w:val="single"/>
        </w:rPr>
      </w:pPr>
      <w:r>
        <w:rPr>
          <w:rFonts w:ascii="Tms Rmn" w:hAnsi="Tms Rmn" w:cs="Tms Rmn"/>
          <w:b/>
          <w:bCs/>
          <w:color w:val="000000"/>
          <w:u w:val="single"/>
        </w:rPr>
        <w:t>PUBLIC PARTICIPATION</w:t>
      </w:r>
    </w:p>
    <w:p w14:paraId="0A9F81BD" w14:textId="77777777" w:rsidR="00AE785C" w:rsidRDefault="00AE785C">
      <w:pPr>
        <w:spacing w:line="240" w:lineRule="atLeast"/>
        <w:rPr>
          <w:rFonts w:ascii="Tms Rmn" w:hAnsi="Tms Rmn" w:cs="Tms Rmn"/>
          <w:b/>
          <w:bCs/>
          <w:color w:val="000000"/>
          <w:u w:val="single"/>
        </w:rPr>
      </w:pPr>
    </w:p>
    <w:p w14:paraId="2440DDE5" w14:textId="1261CD2A" w:rsidR="00AE785C" w:rsidRDefault="00AE785C">
      <w:pPr>
        <w:pStyle w:val="BodyText2"/>
      </w:pPr>
      <w:r>
        <w:t xml:space="preserve">The 30-day public notice period began on </w:t>
      </w:r>
      <w:r w:rsidR="00347F2C">
        <w:t>July 21, 2021</w:t>
      </w:r>
      <w:r>
        <w:t xml:space="preserve">, with the publication of a notice in the </w:t>
      </w:r>
      <w:r w:rsidR="00347F2C">
        <w:t>Sun Herald</w:t>
      </w:r>
      <w:r>
        <w:t xml:space="preserve"> and ends </w:t>
      </w:r>
      <w:r w:rsidR="00347F2C">
        <w:t>August 20, 2021</w:t>
      </w:r>
      <w:bookmarkStart w:id="0" w:name="_GoBack"/>
      <w:bookmarkEnd w:id="0"/>
      <w:r>
        <w:t>.</w:t>
      </w:r>
    </w:p>
    <w:p w14:paraId="678D5070" w14:textId="77777777" w:rsidR="00AE785C" w:rsidRDefault="00AE785C">
      <w:pPr>
        <w:spacing w:line="240" w:lineRule="atLeast"/>
        <w:rPr>
          <w:rFonts w:ascii="Tms Rmn" w:hAnsi="Tms Rmn" w:cs="Tms Rmn"/>
          <w:color w:val="000000"/>
        </w:rPr>
      </w:pPr>
    </w:p>
    <w:p w14:paraId="3353C602" w14:textId="77777777" w:rsidR="00745139" w:rsidRDefault="00745139">
      <w:pPr>
        <w:spacing w:line="240" w:lineRule="atLeast"/>
        <w:rPr>
          <w:rFonts w:ascii="Tms Rmn" w:hAnsi="Tms Rmn" w:cs="Tms Rmn"/>
          <w:b/>
          <w:bCs/>
          <w:color w:val="000000"/>
          <w:u w:val="single"/>
        </w:rPr>
      </w:pPr>
    </w:p>
    <w:p w14:paraId="2FE01517" w14:textId="77777777" w:rsidR="00AE785C" w:rsidRDefault="00AE785C">
      <w:pPr>
        <w:spacing w:line="240" w:lineRule="atLeast"/>
        <w:rPr>
          <w:rFonts w:ascii="Tms Rmn" w:hAnsi="Tms Rmn" w:cs="Tms Rmn"/>
          <w:b/>
          <w:bCs/>
          <w:color w:val="000000"/>
          <w:u w:val="single"/>
        </w:rPr>
      </w:pPr>
      <w:r>
        <w:rPr>
          <w:rFonts w:ascii="Tms Rmn" w:hAnsi="Tms Rmn" w:cs="Tms Rmn"/>
          <w:b/>
          <w:bCs/>
          <w:color w:val="000000"/>
          <w:u w:val="single"/>
        </w:rPr>
        <w:t>RECOMMENDATION</w:t>
      </w:r>
    </w:p>
    <w:p w14:paraId="4295EF71" w14:textId="77777777" w:rsidR="00AE785C" w:rsidRDefault="00AE785C">
      <w:pPr>
        <w:spacing w:line="240" w:lineRule="atLeast"/>
        <w:rPr>
          <w:rFonts w:ascii="Tms Rmn" w:hAnsi="Tms Rmn" w:cs="Tms Rmn"/>
          <w:b/>
          <w:bCs/>
          <w:color w:val="000000"/>
          <w:u w:val="single"/>
        </w:rPr>
      </w:pPr>
    </w:p>
    <w:p w14:paraId="0D0FA4F6" w14:textId="77777777" w:rsidR="0026446A" w:rsidRDefault="00AE785C">
      <w:pPr>
        <w:pStyle w:val="Title"/>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14:paraId="2C381BDA" w14:textId="77777777" w:rsidR="00AE785C" w:rsidRDefault="00AE785C">
      <w:pPr>
        <w:pStyle w:val="Title"/>
        <w:jc w:val="both"/>
        <w:rPr>
          <w:rFonts w:ascii="Tms Rmn" w:hAnsi="Tms Rmn" w:cs="Tms Rmn"/>
          <w:b w:val="0"/>
          <w:bCs w:val="0"/>
          <w:snapToGrid w:val="0"/>
          <w:color w:val="000000"/>
        </w:rPr>
      </w:pPr>
    </w:p>
    <w:sectPr w:rsidR="00AE785C" w:rsidSect="0055558F">
      <w:headerReference w:type="default" r:id="rId11"/>
      <w:footerReference w:type="defaul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1D5F" w14:textId="77777777" w:rsidR="00F70E3E" w:rsidRDefault="00F70E3E">
      <w:r>
        <w:separator/>
      </w:r>
    </w:p>
  </w:endnote>
  <w:endnote w:type="continuationSeparator" w:id="0">
    <w:p w14:paraId="0BE078F2" w14:textId="77777777" w:rsidR="00F70E3E" w:rsidRDefault="00F7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FC41" w14:textId="77777777" w:rsidR="00AE785C" w:rsidRPr="00450468" w:rsidRDefault="0026446A" w:rsidP="0026446A">
    <w:pPr>
      <w:pStyle w:val="Footer"/>
      <w:rPr>
        <w:sz w:val="20"/>
        <w:szCs w:val="20"/>
      </w:rPr>
    </w:pPr>
    <w:r w:rsidRPr="00450468">
      <w:rPr>
        <w:sz w:val="20"/>
        <w:szCs w:val="20"/>
      </w:rPr>
      <w:t xml:space="preserve">14178 </w:t>
    </w:r>
    <w:r w:rsidR="008570FC">
      <w:rPr>
        <w:sz w:val="20"/>
        <w:szCs w:val="20"/>
      </w:rPr>
      <w:t xml:space="preserve"> </w:t>
    </w:r>
    <w:r w:rsidRPr="00450468">
      <w:rPr>
        <w:sz w:val="20"/>
        <w:szCs w:val="20"/>
      </w:rPr>
      <w:t>PER20180001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631C" w14:textId="77777777" w:rsidR="00AE785C" w:rsidRPr="00450468" w:rsidRDefault="00AE785C">
    <w:pPr>
      <w:pStyle w:val="Footer"/>
      <w:rPr>
        <w:sz w:val="20"/>
        <w:szCs w:val="20"/>
      </w:rPr>
    </w:pPr>
    <w:r w:rsidRPr="00450468">
      <w:rPr>
        <w:sz w:val="20"/>
        <w:szCs w:val="20"/>
      </w:rPr>
      <w:t>14178 PER20180001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9750" w14:textId="77777777" w:rsidR="00F70E3E" w:rsidRDefault="00F70E3E">
      <w:r>
        <w:separator/>
      </w:r>
    </w:p>
  </w:footnote>
  <w:footnote w:type="continuationSeparator" w:id="0">
    <w:p w14:paraId="10A4EF4A" w14:textId="77777777" w:rsidR="00F70E3E" w:rsidRDefault="00F7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B780" w14:textId="77777777" w:rsidR="00AE785C" w:rsidRDefault="00AE785C">
    <w:pPr>
      <w:pStyle w:val="Header"/>
      <w:rPr>
        <w:sz w:val="18"/>
        <w:szCs w:val="18"/>
      </w:rPr>
    </w:pPr>
    <w:r>
      <w:rPr>
        <w:sz w:val="18"/>
        <w:szCs w:val="18"/>
      </w:rPr>
      <w:t>Permit Review Summary</w:t>
    </w:r>
  </w:p>
  <w:p w14:paraId="62885C3A" w14:textId="0BD28959" w:rsidR="00AE785C" w:rsidRDefault="00AE785C">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47F2C">
      <w:rPr>
        <w:rStyle w:val="PageNumber"/>
        <w:noProof/>
        <w:sz w:val="18"/>
        <w:szCs w:val="18"/>
      </w:rPr>
      <w:t>3</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AF96F55"/>
    <w:multiLevelType w:val="hybridMultilevel"/>
    <w:tmpl w:val="D734A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AD4321"/>
    <w:multiLevelType w:val="hybridMultilevel"/>
    <w:tmpl w:val="936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10"/>
  </w:num>
  <w:num w:numId="5">
    <w:abstractNumId w:val="1"/>
  </w:num>
  <w:num w:numId="6">
    <w:abstractNumId w:val="9"/>
  </w:num>
  <w:num w:numId="7">
    <w:abstractNumId w:val="11"/>
  </w:num>
  <w:num w:numId="8">
    <w:abstractNumId w:val="8"/>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03238"/>
    <w:rsid w:val="00004698"/>
    <w:rsid w:val="00010778"/>
    <w:rsid w:val="00031259"/>
    <w:rsid w:val="00032135"/>
    <w:rsid w:val="00036B6E"/>
    <w:rsid w:val="00042CF3"/>
    <w:rsid w:val="000437C1"/>
    <w:rsid w:val="00050E9E"/>
    <w:rsid w:val="000A23D6"/>
    <w:rsid w:val="000E657C"/>
    <w:rsid w:val="000F2E85"/>
    <w:rsid w:val="0012377D"/>
    <w:rsid w:val="001403AA"/>
    <w:rsid w:val="00153A56"/>
    <w:rsid w:val="001C108B"/>
    <w:rsid w:val="001D7E96"/>
    <w:rsid w:val="00233312"/>
    <w:rsid w:val="00233EB3"/>
    <w:rsid w:val="00260C04"/>
    <w:rsid w:val="0026446A"/>
    <w:rsid w:val="002A1642"/>
    <w:rsid w:val="002B0AD8"/>
    <w:rsid w:val="0030633D"/>
    <w:rsid w:val="0033250B"/>
    <w:rsid w:val="00335E91"/>
    <w:rsid w:val="00347F2C"/>
    <w:rsid w:val="00360BC5"/>
    <w:rsid w:val="00361BC2"/>
    <w:rsid w:val="0036747B"/>
    <w:rsid w:val="00384B04"/>
    <w:rsid w:val="0039666A"/>
    <w:rsid w:val="00396994"/>
    <w:rsid w:val="003B4F53"/>
    <w:rsid w:val="003C72DE"/>
    <w:rsid w:val="003D05D7"/>
    <w:rsid w:val="004160AA"/>
    <w:rsid w:val="00416BEC"/>
    <w:rsid w:val="00426172"/>
    <w:rsid w:val="00450468"/>
    <w:rsid w:val="00526A22"/>
    <w:rsid w:val="00530A07"/>
    <w:rsid w:val="00533198"/>
    <w:rsid w:val="00536A22"/>
    <w:rsid w:val="0055558F"/>
    <w:rsid w:val="00562523"/>
    <w:rsid w:val="00584E9C"/>
    <w:rsid w:val="00591E8D"/>
    <w:rsid w:val="00592150"/>
    <w:rsid w:val="005D0EB6"/>
    <w:rsid w:val="005D30FA"/>
    <w:rsid w:val="00671D57"/>
    <w:rsid w:val="00674247"/>
    <w:rsid w:val="00697B59"/>
    <w:rsid w:val="006A1772"/>
    <w:rsid w:val="006B2789"/>
    <w:rsid w:val="006B38D2"/>
    <w:rsid w:val="006D7846"/>
    <w:rsid w:val="006F6B56"/>
    <w:rsid w:val="00734CAC"/>
    <w:rsid w:val="00737DF9"/>
    <w:rsid w:val="00745139"/>
    <w:rsid w:val="00771954"/>
    <w:rsid w:val="00791F6D"/>
    <w:rsid w:val="007C66C6"/>
    <w:rsid w:val="008338FC"/>
    <w:rsid w:val="00834145"/>
    <w:rsid w:val="008570FC"/>
    <w:rsid w:val="00887B07"/>
    <w:rsid w:val="008B06B4"/>
    <w:rsid w:val="008C68B5"/>
    <w:rsid w:val="008E4CBE"/>
    <w:rsid w:val="00903494"/>
    <w:rsid w:val="009041BA"/>
    <w:rsid w:val="0092667A"/>
    <w:rsid w:val="00932057"/>
    <w:rsid w:val="009410BA"/>
    <w:rsid w:val="009436CA"/>
    <w:rsid w:val="0094670F"/>
    <w:rsid w:val="00952720"/>
    <w:rsid w:val="00956BEA"/>
    <w:rsid w:val="0096059B"/>
    <w:rsid w:val="00964E1A"/>
    <w:rsid w:val="009715D5"/>
    <w:rsid w:val="009861FD"/>
    <w:rsid w:val="00986DF9"/>
    <w:rsid w:val="009C4E76"/>
    <w:rsid w:val="00A028B8"/>
    <w:rsid w:val="00A064E9"/>
    <w:rsid w:val="00A11EAD"/>
    <w:rsid w:val="00A17BE3"/>
    <w:rsid w:val="00A21F1D"/>
    <w:rsid w:val="00A2552C"/>
    <w:rsid w:val="00A32C8A"/>
    <w:rsid w:val="00A45CF6"/>
    <w:rsid w:val="00A54AF5"/>
    <w:rsid w:val="00A90E68"/>
    <w:rsid w:val="00AB5062"/>
    <w:rsid w:val="00AE29BD"/>
    <w:rsid w:val="00AE785C"/>
    <w:rsid w:val="00AF3C0E"/>
    <w:rsid w:val="00B01374"/>
    <w:rsid w:val="00B0321D"/>
    <w:rsid w:val="00B20CFC"/>
    <w:rsid w:val="00B33AC9"/>
    <w:rsid w:val="00B4253C"/>
    <w:rsid w:val="00B43E9A"/>
    <w:rsid w:val="00B64B20"/>
    <w:rsid w:val="00B85C69"/>
    <w:rsid w:val="00BC4F92"/>
    <w:rsid w:val="00BC6A3A"/>
    <w:rsid w:val="00BF79C3"/>
    <w:rsid w:val="00C01060"/>
    <w:rsid w:val="00C537EC"/>
    <w:rsid w:val="00C75BAB"/>
    <w:rsid w:val="00C77990"/>
    <w:rsid w:val="00C87529"/>
    <w:rsid w:val="00CA77F2"/>
    <w:rsid w:val="00CC3428"/>
    <w:rsid w:val="00CD5755"/>
    <w:rsid w:val="00D25125"/>
    <w:rsid w:val="00D55888"/>
    <w:rsid w:val="00D63380"/>
    <w:rsid w:val="00D65C78"/>
    <w:rsid w:val="00D84228"/>
    <w:rsid w:val="00D93B10"/>
    <w:rsid w:val="00DA2731"/>
    <w:rsid w:val="00DF0672"/>
    <w:rsid w:val="00DF2A50"/>
    <w:rsid w:val="00E76441"/>
    <w:rsid w:val="00E80E4C"/>
    <w:rsid w:val="00E81BEA"/>
    <w:rsid w:val="00E97E27"/>
    <w:rsid w:val="00EA0D6C"/>
    <w:rsid w:val="00EB7572"/>
    <w:rsid w:val="00EE2C9D"/>
    <w:rsid w:val="00F313A5"/>
    <w:rsid w:val="00F51AE5"/>
    <w:rsid w:val="00F67BC9"/>
    <w:rsid w:val="00F70E3E"/>
    <w:rsid w:val="00F932FC"/>
    <w:rsid w:val="00F93355"/>
    <w:rsid w:val="00FB0304"/>
    <w:rsid w:val="00FC17FF"/>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686FD"/>
  <w14:defaultImageDpi w14:val="0"/>
  <w15:docId w15:val="{031F6BBC-B050-438B-8C44-64D6CF27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Closing" w:semiHidden="1"/>
    <w:lsdException w:name="Signature" w:semiHidden="1"/>
    <w:lsdException w:name="Default Paragraph Font" w:semiHidden="1"/>
    <w:lsdException w:name="Body Text" w:semiHidden="1"/>
    <w:lsdException w:name="Subtitle" w:uiPriority="11" w:qFormat="1"/>
    <w:lsdException w:name="Salutation" w:semiHidden="1" w:unhideWhenUsed="1"/>
    <w:lsdException w:name="Date" w:semiHidden="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671D57"/>
    <w:rPr>
      <w:rFonts w:ascii="Segoe UI" w:hAnsi="Segoe UI" w:cs="Segoe UI"/>
      <w:sz w:val="18"/>
      <w:szCs w:val="18"/>
    </w:rPr>
  </w:style>
  <w:style w:type="character" w:customStyle="1" w:styleId="BalloonTextChar">
    <w:name w:val="Balloon Text Char"/>
    <w:basedOn w:val="DefaultParagraphFont"/>
    <w:link w:val="BalloonText"/>
    <w:uiPriority w:val="99"/>
    <w:locked/>
    <w:rsid w:val="00671D57"/>
    <w:rPr>
      <w:rFonts w:ascii="Segoe UI" w:hAnsi="Segoe UI" w:cs="Segoe UI"/>
      <w:sz w:val="18"/>
      <w:szCs w:val="18"/>
    </w:rPr>
  </w:style>
  <w:style w:type="table" w:styleId="TableGrid">
    <w:name w:val="Table Grid"/>
    <w:basedOn w:val="TableNormal"/>
    <w:uiPriority w:val="59"/>
    <w:rsid w:val="00A0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70F"/>
    <w:pPr>
      <w:ind w:left="720"/>
      <w:contextualSpacing/>
    </w:pPr>
  </w:style>
  <w:style w:type="character" w:styleId="CommentReference">
    <w:name w:val="annotation reference"/>
    <w:basedOn w:val="DefaultParagraphFont"/>
    <w:uiPriority w:val="99"/>
    <w:rsid w:val="00952720"/>
    <w:rPr>
      <w:rFonts w:cs="Times New Roman"/>
      <w:sz w:val="16"/>
      <w:szCs w:val="16"/>
    </w:rPr>
  </w:style>
  <w:style w:type="paragraph" w:styleId="CommentText">
    <w:name w:val="annotation text"/>
    <w:basedOn w:val="Normal"/>
    <w:link w:val="CommentTextChar"/>
    <w:uiPriority w:val="99"/>
    <w:rsid w:val="00952720"/>
    <w:rPr>
      <w:sz w:val="20"/>
      <w:szCs w:val="20"/>
    </w:rPr>
  </w:style>
  <w:style w:type="character" w:customStyle="1" w:styleId="CommentTextChar">
    <w:name w:val="Comment Text Char"/>
    <w:basedOn w:val="DefaultParagraphFont"/>
    <w:link w:val="CommentText"/>
    <w:uiPriority w:val="99"/>
    <w:locked/>
    <w:rsid w:val="00952720"/>
    <w:rPr>
      <w:rFonts w:cs="Times New Roman"/>
      <w:sz w:val="20"/>
      <w:szCs w:val="20"/>
    </w:rPr>
  </w:style>
  <w:style w:type="paragraph" w:styleId="CommentSubject">
    <w:name w:val="annotation subject"/>
    <w:basedOn w:val="CommentText"/>
    <w:next w:val="CommentText"/>
    <w:link w:val="CommentSubjectChar"/>
    <w:uiPriority w:val="99"/>
    <w:rsid w:val="00952720"/>
    <w:rPr>
      <w:b/>
      <w:bCs/>
    </w:rPr>
  </w:style>
  <w:style w:type="character" w:customStyle="1" w:styleId="CommentSubjectChar">
    <w:name w:val="Comment Subject Char"/>
    <w:basedOn w:val="CommentTextChar"/>
    <w:link w:val="CommentSubject"/>
    <w:uiPriority w:val="99"/>
    <w:locked/>
    <w:rsid w:val="00952720"/>
    <w:rPr>
      <w:rFonts w:cs="Times New Roman"/>
      <w:b/>
      <w:bCs/>
      <w:sz w:val="20"/>
      <w:szCs w:val="20"/>
    </w:rPr>
  </w:style>
  <w:style w:type="paragraph" w:styleId="Revision">
    <w:name w:val="Revision"/>
    <w:hidden/>
    <w:uiPriority w:val="99"/>
    <w:semiHidden/>
    <w:rsid w:val="00FB030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30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9" ma:contentTypeDescription="Create a new document." ma:contentTypeScope="" ma:versionID="918ebb19d3704a2b16e7a0b6c14de0ab">
  <xsd:schema xmlns:xsd="http://www.w3.org/2001/XMLSchema" xmlns:xs="http://www.w3.org/2001/XMLSchema" xmlns:p="http://schemas.microsoft.com/office/2006/metadata/properties" xmlns:ns3="0e600864-1659-4d51-800e-ea78681eff1c" xmlns:ns4="5b7d2ae4-a452-4406-aac6-dc183d564629" targetNamespace="http://schemas.microsoft.com/office/2006/metadata/properties" ma:root="true" ma:fieldsID="c821ae96cda1fe482727ceb111fc3c36" ns3:_="" ns4:_="">
    <xsd:import namespace="0e600864-1659-4d51-800e-ea78681eff1c"/>
    <xsd:import namespace="5b7d2ae4-a452-4406-aac6-dc183d5646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344A-4296-4805-A048-406473F3FE9A}">
  <ds:schemaRefs>
    <ds:schemaRef ds:uri="http://purl.org/dc/elements/1.1/"/>
    <ds:schemaRef ds:uri="5b7d2ae4-a452-4406-aac6-dc183d564629"/>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0e600864-1659-4d51-800e-ea78681eff1c"/>
    <ds:schemaRef ds:uri="http://www.w3.org/XML/1998/namespace"/>
    <ds:schemaRef ds:uri="http://purl.org/dc/dcmitype/"/>
  </ds:schemaRefs>
</ds:datastoreItem>
</file>

<file path=customXml/itemProps2.xml><?xml version="1.0" encoding="utf-8"?>
<ds:datastoreItem xmlns:ds="http://schemas.openxmlformats.org/officeDocument/2006/customXml" ds:itemID="{8022DFC1-468E-4F9A-AA6F-B03B7127453D}">
  <ds:schemaRefs>
    <ds:schemaRef ds:uri="http://schemas.microsoft.com/sharepoint/v3/contenttype/forms"/>
  </ds:schemaRefs>
</ds:datastoreItem>
</file>

<file path=customXml/itemProps3.xml><?xml version="1.0" encoding="utf-8"?>
<ds:datastoreItem xmlns:ds="http://schemas.openxmlformats.org/officeDocument/2006/customXml" ds:itemID="{14D0B9F1-15B8-4A42-8111-2C483639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00864-1659-4d51-800e-ea78681eff1c"/>
    <ds:schemaRef ds:uri="5b7d2ae4-a452-4406-aac6-dc183d56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4B4DE-1D55-4ADC-8B22-F5D7D599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enSite Letter.dot</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Megan Rupp</cp:lastModifiedBy>
  <cp:revision>3</cp:revision>
  <cp:lastPrinted>2021-07-14T15:57:00Z</cp:lastPrinted>
  <dcterms:created xsi:type="dcterms:W3CDTF">2021-07-19T16:35:00Z</dcterms:created>
  <dcterms:modified xsi:type="dcterms:W3CDTF">2021-07-19T16:36:00Z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