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DFE4" w14:textId="77777777" w:rsidR="005E1C12" w:rsidRDefault="005E1C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RELATIVE TO</w:t>
      </w:r>
      <w:r w:rsidR="00CC1957">
        <w:rPr>
          <w:b/>
          <w:bCs/>
          <w:sz w:val="32"/>
          <w:szCs w:val="32"/>
        </w:rPr>
        <w:t xml:space="preserve"> </w:t>
      </w:r>
    </w:p>
    <w:p w14:paraId="6F57DBE8" w14:textId="77777777" w:rsidR="005E1C12" w:rsidRDefault="005E1C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TITLE V OPERATING PERMIT</w:t>
      </w:r>
    </w:p>
    <w:p w14:paraId="189C4852" w14:textId="77777777" w:rsidR="00DD63C9" w:rsidRDefault="00DD63C9" w:rsidP="00DD63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2, 2020</w:t>
      </w:r>
    </w:p>
    <w:p w14:paraId="3E8F4123" w14:textId="77777777" w:rsidR="007E6D99" w:rsidRDefault="007E6D99">
      <w:pPr>
        <w:jc w:val="center"/>
        <w:rPr>
          <w:b/>
          <w:bCs/>
          <w:sz w:val="32"/>
          <w:szCs w:val="32"/>
        </w:rPr>
      </w:pPr>
    </w:p>
    <w:p w14:paraId="18C2C345" w14:textId="77777777" w:rsidR="005E1C12" w:rsidRDefault="005E1C12">
      <w:pPr>
        <w:jc w:val="center"/>
        <w:rPr>
          <w:sz w:val="24"/>
          <w:szCs w:val="24"/>
        </w:rPr>
      </w:pPr>
    </w:p>
    <w:p w14:paraId="02C9E298" w14:textId="77777777" w:rsidR="005E1C12" w:rsidRPr="006A52EB" w:rsidRDefault="006A52EB" w:rsidP="006A52EB">
      <w:pPr>
        <w:rPr>
          <w:sz w:val="24"/>
          <w:szCs w:val="24"/>
          <w:u w:val="single"/>
        </w:rPr>
      </w:pPr>
      <w:r w:rsidRPr="006A52EB">
        <w:rPr>
          <w:sz w:val="24"/>
          <w:szCs w:val="24"/>
          <w:u w:val="single"/>
        </w:rPr>
        <w:t>GENER</w:t>
      </w:r>
      <w:r>
        <w:rPr>
          <w:sz w:val="24"/>
          <w:szCs w:val="24"/>
          <w:u w:val="single"/>
        </w:rPr>
        <w:t>AL FACILITY INFORMATION</w:t>
      </w:r>
    </w:p>
    <w:p w14:paraId="1606A15C" w14:textId="77777777" w:rsidR="005E1C12" w:rsidRPr="006A52EB" w:rsidRDefault="006A52EB" w:rsidP="006A52EB">
      <w:pPr>
        <w:pStyle w:val="ReferenceLine"/>
        <w:widowControl/>
        <w:tabs>
          <w:tab w:val="left" w:pos="90"/>
        </w:tabs>
        <w:spacing w:after="0"/>
        <w:rPr>
          <w:bCs/>
        </w:rPr>
      </w:pPr>
      <w:r>
        <w:rPr>
          <w:b/>
          <w:bCs/>
        </w:rPr>
        <w:t xml:space="preserve">Facility Name:  </w:t>
      </w:r>
      <w:r w:rsidR="002B033D">
        <w:rPr>
          <w:b/>
          <w:bCs/>
        </w:rPr>
        <w:t xml:space="preserve"> </w:t>
      </w:r>
      <w:r w:rsidR="00DD63C9" w:rsidRPr="00DD63C9">
        <w:rPr>
          <w:bCs/>
        </w:rPr>
        <w:t>EP Engineered Clays Corporation</w:t>
      </w:r>
    </w:p>
    <w:p w14:paraId="17690C7C" w14:textId="77777777" w:rsidR="006A52EB" w:rsidRPr="00DD63C9" w:rsidRDefault="006A52EB" w:rsidP="00681AD1">
      <w:pPr>
        <w:tabs>
          <w:tab w:val="left" w:pos="90"/>
        </w:tabs>
        <w:rPr>
          <w:bCs/>
          <w:snapToGrid w:val="0"/>
          <w:sz w:val="24"/>
          <w:szCs w:val="24"/>
        </w:rPr>
      </w:pPr>
      <w:r w:rsidRPr="006A52EB">
        <w:rPr>
          <w:b/>
          <w:bCs/>
          <w:snapToGrid w:val="0"/>
          <w:color w:val="000000"/>
          <w:sz w:val="24"/>
          <w:szCs w:val="24"/>
        </w:rPr>
        <w:t>Facility Address:</w:t>
      </w:r>
      <w:r w:rsidR="002B033D">
        <w:rPr>
          <w:bCs/>
          <w:snapToGrid w:val="0"/>
          <w:color w:val="000000"/>
          <w:sz w:val="24"/>
          <w:szCs w:val="24"/>
        </w:rPr>
        <w:t xml:space="preserve">  </w:t>
      </w:r>
      <w:r w:rsidR="00DD63C9" w:rsidRPr="00DD63C9">
        <w:rPr>
          <w:bCs/>
          <w:snapToGrid w:val="0"/>
          <w:color w:val="000000"/>
          <w:sz w:val="24"/>
          <w:szCs w:val="24"/>
        </w:rPr>
        <w:t xml:space="preserve">600 </w:t>
      </w:r>
      <w:r w:rsidR="00DD63C9" w:rsidRPr="00DD63C9">
        <w:rPr>
          <w:bCs/>
          <w:snapToGrid w:val="0"/>
          <w:sz w:val="24"/>
          <w:szCs w:val="24"/>
        </w:rPr>
        <w:t>East McDowell Road, Jackson, Mississippi</w:t>
      </w:r>
    </w:p>
    <w:p w14:paraId="3410B528" w14:textId="77777777" w:rsidR="00CC1957" w:rsidRPr="00DD63C9" w:rsidRDefault="006A52EB" w:rsidP="00681AD1">
      <w:pPr>
        <w:pStyle w:val="ReferenceLine"/>
        <w:widowControl/>
        <w:spacing w:after="0"/>
      </w:pPr>
      <w:r w:rsidRPr="00DD63C9">
        <w:rPr>
          <w:b/>
        </w:rPr>
        <w:t xml:space="preserve">County: </w:t>
      </w:r>
      <w:r w:rsidR="002B033D">
        <w:rPr>
          <w:b/>
        </w:rPr>
        <w:t xml:space="preserve"> </w:t>
      </w:r>
      <w:r w:rsidR="00DD63C9" w:rsidRPr="00DD63C9">
        <w:t>Hinds</w:t>
      </w:r>
    </w:p>
    <w:p w14:paraId="00029DA5" w14:textId="77777777" w:rsidR="00DD63C9" w:rsidRPr="00DD63C9" w:rsidRDefault="00991620" w:rsidP="00991620">
      <w:pPr>
        <w:pStyle w:val="ReferenceLine"/>
        <w:widowControl/>
        <w:spacing w:after="0"/>
        <w:rPr>
          <w:b/>
        </w:rPr>
      </w:pPr>
      <w:r w:rsidRPr="00DD63C9">
        <w:rPr>
          <w:b/>
        </w:rPr>
        <w:t xml:space="preserve">SIC Code(s): </w:t>
      </w:r>
      <w:r w:rsidR="002B033D">
        <w:rPr>
          <w:b/>
        </w:rPr>
        <w:t xml:space="preserve"> </w:t>
      </w:r>
      <w:r w:rsidR="009B7E5B">
        <w:t>3295 (</w:t>
      </w:r>
      <w:r w:rsidR="00DD63C9" w:rsidRPr="00DD63C9">
        <w:t>Minerals and Earths, Ground or Otherwise Treated</w:t>
      </w:r>
      <w:r w:rsidR="009B7E5B">
        <w:rPr>
          <w:b/>
        </w:rPr>
        <w:t>)</w:t>
      </w:r>
    </w:p>
    <w:p w14:paraId="7F667BCF" w14:textId="77777777" w:rsidR="00991620" w:rsidRPr="00DD63C9" w:rsidRDefault="00991620" w:rsidP="00991620">
      <w:pPr>
        <w:pStyle w:val="ReferenceLine"/>
        <w:widowControl/>
        <w:spacing w:after="0"/>
      </w:pPr>
      <w:r w:rsidRPr="00DD63C9">
        <w:rPr>
          <w:b/>
        </w:rPr>
        <w:t>NAICS Code(s):</w:t>
      </w:r>
      <w:r w:rsidRPr="00DD63C9">
        <w:t xml:space="preserve"> </w:t>
      </w:r>
      <w:r w:rsidR="002B033D">
        <w:t xml:space="preserve"> </w:t>
      </w:r>
      <w:r w:rsidR="00DD63C9" w:rsidRPr="00DD63C9">
        <w:t>327992</w:t>
      </w:r>
    </w:p>
    <w:p w14:paraId="19A8AF3C" w14:textId="77777777" w:rsidR="006A52EB" w:rsidRDefault="006A52EB" w:rsidP="00681AD1">
      <w:pPr>
        <w:pStyle w:val="ReferenceLine"/>
        <w:widowControl/>
        <w:spacing w:after="0"/>
        <w:rPr>
          <w:b/>
        </w:rPr>
      </w:pPr>
    </w:p>
    <w:p w14:paraId="77575BF2" w14:textId="77777777" w:rsidR="00681AD1" w:rsidRPr="00681AD1" w:rsidRDefault="00681AD1" w:rsidP="00681AD1">
      <w:pPr>
        <w:pStyle w:val="ReferenceLine"/>
        <w:widowControl/>
        <w:spacing w:after="0"/>
        <w:rPr>
          <w:u w:val="single"/>
        </w:rPr>
      </w:pPr>
      <w:r>
        <w:rPr>
          <w:u w:val="single"/>
        </w:rPr>
        <w:t xml:space="preserve">APPLICATION SUMMARY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14"/>
      </w:tblGrid>
      <w:tr w:rsidR="00735840" w14:paraId="261DD098" w14:textId="77777777" w:rsidTr="00DD63C9">
        <w:trPr>
          <w:trHeight w:val="2048"/>
        </w:trPr>
        <w:tc>
          <w:tcPr>
            <w:tcW w:w="4994" w:type="dxa"/>
          </w:tcPr>
          <w:p w14:paraId="6D6F5A3B" w14:textId="77777777" w:rsidR="00735840" w:rsidRPr="00DD63C9" w:rsidRDefault="00735840" w:rsidP="000C10C1">
            <w:pPr>
              <w:pStyle w:val="ReferenceLine"/>
              <w:widowControl/>
              <w:spacing w:before="60" w:after="60"/>
              <w:ind w:right="168"/>
            </w:pPr>
            <w:r w:rsidRPr="00DD63C9">
              <w:rPr>
                <w:b/>
              </w:rPr>
              <w:t xml:space="preserve">Permit No.: </w:t>
            </w:r>
            <w:r w:rsidR="002B033D">
              <w:rPr>
                <w:b/>
              </w:rPr>
              <w:t xml:space="preserve"> </w:t>
            </w:r>
            <w:r w:rsidR="00DD63C9" w:rsidRPr="00DD63C9">
              <w:t>1080-00145</w:t>
            </w:r>
          </w:p>
          <w:p w14:paraId="63E58B6F" w14:textId="77777777" w:rsidR="00735840" w:rsidRPr="00DD63C9" w:rsidRDefault="002B033D" w:rsidP="00991620">
            <w:pPr>
              <w:pStyle w:val="ReferenceLine"/>
              <w:widowControl/>
              <w:spacing w:before="60" w:after="60"/>
              <w:ind w:right="168"/>
            </w:pPr>
            <w:r>
              <w:rPr>
                <w:b/>
              </w:rPr>
              <w:t xml:space="preserve">Permit Action:  </w:t>
            </w:r>
            <w:r w:rsidR="00735840" w:rsidRPr="00DD63C9">
              <w:t>Renewal</w:t>
            </w:r>
          </w:p>
          <w:p w14:paraId="782300DB" w14:textId="77777777" w:rsidR="00735840" w:rsidRPr="00DD63C9" w:rsidRDefault="00735840" w:rsidP="000C10C1">
            <w:pPr>
              <w:pStyle w:val="ReferenceLine"/>
              <w:widowControl/>
              <w:spacing w:before="60" w:after="60"/>
              <w:ind w:right="168"/>
            </w:pPr>
            <w:r w:rsidRPr="00DD63C9">
              <w:rPr>
                <w:b/>
              </w:rPr>
              <w:t>Permit Folder:</w:t>
            </w:r>
            <w:r w:rsidR="002B033D">
              <w:rPr>
                <w:b/>
              </w:rPr>
              <w:t xml:space="preserve"> </w:t>
            </w:r>
            <w:r w:rsidR="00DD63C9" w:rsidRPr="00DD63C9">
              <w:t>20200001</w:t>
            </w:r>
          </w:p>
          <w:p w14:paraId="71E4C219" w14:textId="77777777" w:rsidR="00735840" w:rsidRPr="00DD63C9" w:rsidRDefault="00735840" w:rsidP="00991620">
            <w:pPr>
              <w:pStyle w:val="ReferenceLine"/>
              <w:widowControl/>
              <w:spacing w:before="60" w:after="60"/>
              <w:ind w:right="168"/>
            </w:pPr>
            <w:r w:rsidRPr="00DD63C9">
              <w:rPr>
                <w:b/>
              </w:rPr>
              <w:t xml:space="preserve">Application Receipt Date: </w:t>
            </w:r>
            <w:r w:rsidR="002B033D">
              <w:rPr>
                <w:b/>
              </w:rPr>
              <w:t xml:space="preserve"> </w:t>
            </w:r>
            <w:r w:rsidR="00DD63C9" w:rsidRPr="00DD63C9">
              <w:t>January 30, 2020</w:t>
            </w:r>
          </w:p>
          <w:p w14:paraId="6FF732B0" w14:textId="77777777" w:rsidR="00735840" w:rsidRPr="00DD63C9" w:rsidRDefault="00735840" w:rsidP="000C10C1">
            <w:pPr>
              <w:pStyle w:val="ReferenceLine"/>
              <w:widowControl/>
              <w:spacing w:before="60" w:after="60"/>
              <w:ind w:right="168"/>
            </w:pPr>
            <w:r w:rsidRPr="00DD63C9">
              <w:rPr>
                <w:b/>
              </w:rPr>
              <w:t xml:space="preserve">Application Deemed Complete: </w:t>
            </w:r>
            <w:r w:rsidR="002B033D">
              <w:rPr>
                <w:b/>
              </w:rPr>
              <w:t xml:space="preserve"> </w:t>
            </w:r>
            <w:r w:rsidR="00DD63C9" w:rsidRPr="00DD63C9">
              <w:t>May 1, 2020</w:t>
            </w:r>
          </w:p>
          <w:p w14:paraId="796082A5" w14:textId="77777777" w:rsidR="00735840" w:rsidRPr="00DD63C9" w:rsidRDefault="00735840" w:rsidP="000C10C1">
            <w:pPr>
              <w:pStyle w:val="ReferenceLine"/>
              <w:spacing w:before="60" w:after="60"/>
              <w:ind w:right="168"/>
            </w:pPr>
            <w:r w:rsidRPr="00DD63C9">
              <w:rPr>
                <w:b/>
              </w:rPr>
              <w:t xml:space="preserve">CBI Submitted?: </w:t>
            </w:r>
            <w:r w:rsidR="002B033D">
              <w:rPr>
                <w:b/>
              </w:rPr>
              <w:t xml:space="preserve"> </w:t>
            </w:r>
            <w:r w:rsidRPr="00DD63C9">
              <w:t>No</w:t>
            </w:r>
          </w:p>
        </w:tc>
        <w:tc>
          <w:tcPr>
            <w:tcW w:w="4461" w:type="dxa"/>
          </w:tcPr>
          <w:p w14:paraId="0680E5C3" w14:textId="77777777" w:rsidR="00735840" w:rsidRPr="00DD63C9" w:rsidRDefault="00735840" w:rsidP="00991620">
            <w:pPr>
              <w:pStyle w:val="ReferenceLine"/>
              <w:widowControl/>
              <w:spacing w:before="60" w:after="60"/>
            </w:pPr>
            <w:r>
              <w:rPr>
                <w:b/>
              </w:rPr>
              <w:t>NSPS (</w:t>
            </w:r>
            <w:r w:rsidRPr="00DD63C9">
              <w:rPr>
                <w:b/>
              </w:rPr>
              <w:t xml:space="preserve">Part 60): </w:t>
            </w:r>
            <w:r w:rsidR="002B033D">
              <w:rPr>
                <w:b/>
              </w:rPr>
              <w:t xml:space="preserve"> </w:t>
            </w:r>
            <w:r w:rsidR="00DD63C9" w:rsidRPr="00DD63C9">
              <w:t>Dc, OOO, UUU</w:t>
            </w:r>
          </w:p>
          <w:p w14:paraId="19FB1A05" w14:textId="77777777" w:rsidR="00735840" w:rsidRPr="00DD63C9" w:rsidRDefault="00735840" w:rsidP="00991620">
            <w:pPr>
              <w:pStyle w:val="ReferenceLine"/>
              <w:widowControl/>
              <w:spacing w:before="60" w:after="60"/>
              <w:rPr>
                <w:b/>
              </w:rPr>
            </w:pPr>
            <w:r w:rsidRPr="00DD63C9">
              <w:rPr>
                <w:b/>
              </w:rPr>
              <w:t xml:space="preserve">NESHAP (Part 61): </w:t>
            </w:r>
            <w:r w:rsidR="002B033D">
              <w:rPr>
                <w:b/>
              </w:rPr>
              <w:t xml:space="preserve"> </w:t>
            </w:r>
            <w:r w:rsidR="00DD63C9" w:rsidRPr="00DD63C9">
              <w:t>N/A</w:t>
            </w:r>
          </w:p>
          <w:p w14:paraId="512203CA" w14:textId="77777777" w:rsidR="00735840" w:rsidRPr="00DD63C9" w:rsidRDefault="00735840" w:rsidP="00991620">
            <w:pPr>
              <w:pStyle w:val="ReferenceLine"/>
              <w:widowControl/>
              <w:spacing w:before="60" w:after="60"/>
              <w:rPr>
                <w:b/>
              </w:rPr>
            </w:pPr>
            <w:r w:rsidRPr="00DD63C9">
              <w:rPr>
                <w:b/>
              </w:rPr>
              <w:t xml:space="preserve">NESHAP (Part 63): </w:t>
            </w:r>
            <w:r w:rsidR="002B033D">
              <w:rPr>
                <w:b/>
              </w:rPr>
              <w:t xml:space="preserve"> </w:t>
            </w:r>
            <w:r w:rsidR="00DD63C9" w:rsidRPr="00DD63C9">
              <w:t>N/A</w:t>
            </w:r>
          </w:p>
          <w:p w14:paraId="20F82B49" w14:textId="77777777" w:rsidR="00735840" w:rsidRPr="00DD63C9" w:rsidRDefault="00735840" w:rsidP="00991620">
            <w:pPr>
              <w:pStyle w:val="ReferenceLine"/>
              <w:widowControl/>
              <w:spacing w:before="60" w:after="60"/>
              <w:rPr>
                <w:b/>
              </w:rPr>
            </w:pPr>
            <w:r w:rsidRPr="00DD63C9">
              <w:rPr>
                <w:b/>
              </w:rPr>
              <w:t xml:space="preserve">112(r) / RMP: </w:t>
            </w:r>
            <w:r w:rsidR="002B033D">
              <w:rPr>
                <w:b/>
              </w:rPr>
              <w:t xml:space="preserve"> </w:t>
            </w:r>
            <w:r w:rsidR="00DD63C9" w:rsidRPr="00DD63C9">
              <w:t>N/A</w:t>
            </w:r>
          </w:p>
          <w:p w14:paraId="6BA14D42" w14:textId="77777777" w:rsidR="00735840" w:rsidRPr="00577CB8" w:rsidRDefault="00735840" w:rsidP="00DD63C9">
            <w:pPr>
              <w:pStyle w:val="ReferenceLine"/>
              <w:spacing w:before="60" w:after="60"/>
            </w:pPr>
            <w:r w:rsidRPr="00DD63C9">
              <w:rPr>
                <w:b/>
              </w:rPr>
              <w:t xml:space="preserve">Other: </w:t>
            </w:r>
            <w:r w:rsidR="002B033D">
              <w:rPr>
                <w:b/>
              </w:rPr>
              <w:t xml:space="preserve"> </w:t>
            </w:r>
            <w:r w:rsidRPr="00DD63C9">
              <w:t>N/A</w:t>
            </w:r>
          </w:p>
        </w:tc>
      </w:tr>
    </w:tbl>
    <w:p w14:paraId="60D8152F" w14:textId="77777777" w:rsidR="00681AD1" w:rsidRDefault="00681AD1" w:rsidP="00681AD1">
      <w:pPr>
        <w:pStyle w:val="ReferenceLine"/>
        <w:widowControl/>
        <w:spacing w:after="0"/>
        <w:rPr>
          <w:b/>
        </w:rPr>
      </w:pPr>
    </w:p>
    <w:p w14:paraId="5CB18E3B" w14:textId="77777777" w:rsidR="00531513" w:rsidRDefault="00531513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FACILITY DESCRIPTION</w:t>
      </w:r>
    </w:p>
    <w:p w14:paraId="22AA4554" w14:textId="77777777" w:rsidR="002B033D" w:rsidRDefault="002B033D" w:rsidP="00104CE2">
      <w:pPr>
        <w:jc w:val="both"/>
        <w:rPr>
          <w:sz w:val="24"/>
          <w:szCs w:val="24"/>
        </w:rPr>
      </w:pPr>
    </w:p>
    <w:p w14:paraId="79325D76" w14:textId="77777777" w:rsidR="00531513" w:rsidRDefault="00DD63C9" w:rsidP="00104CE2">
      <w:pPr>
        <w:jc w:val="both"/>
        <w:rPr>
          <w:sz w:val="24"/>
          <w:szCs w:val="24"/>
        </w:rPr>
      </w:pPr>
      <w:r w:rsidRPr="00077A9A">
        <w:rPr>
          <w:sz w:val="24"/>
          <w:szCs w:val="24"/>
        </w:rPr>
        <w:t>EP Engineered Clays Corporation</w:t>
      </w:r>
      <w:r>
        <w:rPr>
          <w:sz w:val="24"/>
          <w:szCs w:val="24"/>
        </w:rPr>
        <w:t xml:space="preserve"> </w:t>
      </w:r>
      <w:r w:rsidR="002B4CF9">
        <w:rPr>
          <w:sz w:val="24"/>
          <w:szCs w:val="24"/>
        </w:rPr>
        <w:t xml:space="preserve">(“EP”) is an existing industrial facility that operates a </w:t>
      </w:r>
      <w:r w:rsidR="002B033D">
        <w:rPr>
          <w:sz w:val="24"/>
          <w:szCs w:val="24"/>
        </w:rPr>
        <w:t>bentonite clay</w:t>
      </w:r>
      <w:r w:rsidR="006A3D2C">
        <w:rPr>
          <w:sz w:val="24"/>
          <w:szCs w:val="24"/>
        </w:rPr>
        <w:t xml:space="preserve"> </w:t>
      </w:r>
      <w:r w:rsidRPr="00077A9A">
        <w:rPr>
          <w:sz w:val="24"/>
          <w:szCs w:val="24"/>
        </w:rPr>
        <w:t xml:space="preserve">beneficiation/activation and packaging </w:t>
      </w:r>
      <w:r w:rsidR="002B4CF9">
        <w:rPr>
          <w:sz w:val="24"/>
          <w:szCs w:val="24"/>
        </w:rPr>
        <w:t>process</w:t>
      </w:r>
      <w:r w:rsidR="002B033D">
        <w:rPr>
          <w:sz w:val="24"/>
          <w:szCs w:val="24"/>
        </w:rPr>
        <w:t xml:space="preserve"> (the clay </w:t>
      </w:r>
      <w:r w:rsidR="002B033D" w:rsidRPr="002B033D">
        <w:rPr>
          <w:sz w:val="24"/>
          <w:szCs w:val="24"/>
        </w:rPr>
        <w:t>is originally mined in sister facility located in Aberdeen, MS)</w:t>
      </w:r>
      <w:r>
        <w:rPr>
          <w:sz w:val="24"/>
          <w:szCs w:val="24"/>
        </w:rPr>
        <w:t xml:space="preserve">.  </w:t>
      </w:r>
      <w:r w:rsidR="002B4CF9">
        <w:rPr>
          <w:sz w:val="24"/>
          <w:szCs w:val="24"/>
        </w:rPr>
        <w:t>T</w:t>
      </w:r>
      <w:r w:rsidR="006A3D2C">
        <w:rPr>
          <w:sz w:val="24"/>
          <w:szCs w:val="24"/>
        </w:rPr>
        <w:t xml:space="preserve">he formulated clay products </w:t>
      </w:r>
      <w:r w:rsidR="002B4CF9">
        <w:rPr>
          <w:sz w:val="24"/>
          <w:szCs w:val="24"/>
        </w:rPr>
        <w:t xml:space="preserve">are utilized in the food industry, in the petrochemical / specialty chemical industry, and as an animal feed additive.  </w:t>
      </w:r>
      <w:r w:rsidRPr="005C4255">
        <w:rPr>
          <w:sz w:val="24"/>
          <w:szCs w:val="24"/>
        </w:rPr>
        <w:t xml:space="preserve">The primary source of emissions at </w:t>
      </w:r>
      <w:r w:rsidR="00C71957">
        <w:rPr>
          <w:sz w:val="24"/>
          <w:szCs w:val="24"/>
        </w:rPr>
        <w:t>EP</w:t>
      </w:r>
      <w:r w:rsidRPr="005C4255">
        <w:rPr>
          <w:sz w:val="24"/>
          <w:szCs w:val="24"/>
        </w:rPr>
        <w:t xml:space="preserve"> </w:t>
      </w:r>
      <w:r w:rsidR="006A3D2C">
        <w:rPr>
          <w:sz w:val="24"/>
          <w:szCs w:val="24"/>
        </w:rPr>
        <w:t>originate</w:t>
      </w:r>
      <w:r w:rsidRPr="005C4255">
        <w:rPr>
          <w:sz w:val="24"/>
          <w:szCs w:val="24"/>
        </w:rPr>
        <w:t xml:space="preserve"> from </w:t>
      </w:r>
      <w:r>
        <w:rPr>
          <w:sz w:val="24"/>
          <w:szCs w:val="24"/>
        </w:rPr>
        <w:t>bentonite clay handling, processing, drying, and storage</w:t>
      </w:r>
      <w:r w:rsidRPr="005C4255">
        <w:rPr>
          <w:sz w:val="24"/>
          <w:szCs w:val="24"/>
        </w:rPr>
        <w:t xml:space="preserve"> operations.</w:t>
      </w:r>
      <w:r>
        <w:rPr>
          <w:sz w:val="24"/>
          <w:szCs w:val="24"/>
        </w:rPr>
        <w:t xml:space="preserve">  The facility operates numerous bag filter control devices; two (2) 18.5 MMBTU</w:t>
      </w:r>
      <w:r w:rsidR="002B033D">
        <w:rPr>
          <w:sz w:val="24"/>
          <w:szCs w:val="24"/>
        </w:rPr>
        <w:t xml:space="preserve"> / hour natural gas-fired</w:t>
      </w:r>
      <w:r>
        <w:rPr>
          <w:sz w:val="24"/>
          <w:szCs w:val="24"/>
        </w:rPr>
        <w:t xml:space="preserve"> flash dryers; three (3) 16.8 MMBTU</w:t>
      </w:r>
      <w:r w:rsidR="002B033D">
        <w:rPr>
          <w:sz w:val="24"/>
          <w:szCs w:val="24"/>
        </w:rPr>
        <w:t xml:space="preserve"> / hour natural gas-fired </w:t>
      </w:r>
      <w:r>
        <w:rPr>
          <w:sz w:val="24"/>
          <w:szCs w:val="24"/>
        </w:rPr>
        <w:t xml:space="preserve">rotary </w:t>
      </w:r>
      <w:r w:rsidR="002B033D">
        <w:rPr>
          <w:sz w:val="24"/>
          <w:szCs w:val="24"/>
        </w:rPr>
        <w:t>dryers; two (2) 26.0 MMBTU / hour natural gas-fired</w:t>
      </w:r>
      <w:r>
        <w:rPr>
          <w:sz w:val="24"/>
          <w:szCs w:val="24"/>
        </w:rPr>
        <w:t xml:space="preserve"> package</w:t>
      </w:r>
      <w:r w:rsidR="002B033D">
        <w:rPr>
          <w:sz w:val="24"/>
          <w:szCs w:val="24"/>
        </w:rPr>
        <w:t xml:space="preserve"> boilers; and one (1) 4.0 MMBTU / hour natural gas-fired fluid bed dryer.</w:t>
      </w:r>
    </w:p>
    <w:p w14:paraId="1C386FAE" w14:textId="77777777" w:rsidR="00DD63C9" w:rsidRDefault="00DD63C9" w:rsidP="00104CE2">
      <w:pPr>
        <w:jc w:val="both"/>
        <w:rPr>
          <w:sz w:val="24"/>
          <w:szCs w:val="24"/>
        </w:rPr>
      </w:pPr>
    </w:p>
    <w:p w14:paraId="3C212AC5" w14:textId="77777777" w:rsidR="00531513" w:rsidRDefault="00531513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TITLE V </w:t>
      </w:r>
      <w:r w:rsidR="00BA3BCF">
        <w:rPr>
          <w:sz w:val="24"/>
          <w:szCs w:val="24"/>
          <w:u w:val="single"/>
        </w:rPr>
        <w:t>SOURCE</w:t>
      </w:r>
      <w:r>
        <w:rPr>
          <w:sz w:val="24"/>
          <w:szCs w:val="24"/>
          <w:u w:val="single"/>
        </w:rPr>
        <w:t xml:space="preserve"> APPLICABILITY </w:t>
      </w:r>
    </w:p>
    <w:p w14:paraId="5F72A91F" w14:textId="77777777" w:rsidR="002B033D" w:rsidRDefault="002B033D" w:rsidP="00DD63C9">
      <w:pPr>
        <w:jc w:val="both"/>
        <w:rPr>
          <w:sz w:val="24"/>
          <w:szCs w:val="24"/>
        </w:rPr>
      </w:pPr>
    </w:p>
    <w:p w14:paraId="4CCEF722" w14:textId="77777777" w:rsidR="00DD63C9" w:rsidRDefault="00DD63C9" w:rsidP="00DD63C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A3BCF">
        <w:rPr>
          <w:sz w:val="24"/>
          <w:szCs w:val="24"/>
        </w:rPr>
        <w:t xml:space="preserve">he facility’s </w:t>
      </w:r>
      <w:r>
        <w:rPr>
          <w:sz w:val="24"/>
          <w:szCs w:val="24"/>
        </w:rPr>
        <w:t xml:space="preserve">uncontrolled </w:t>
      </w:r>
      <w:r w:rsidRPr="00BA3BCF">
        <w:rPr>
          <w:sz w:val="24"/>
          <w:szCs w:val="24"/>
        </w:rPr>
        <w:t xml:space="preserve">potential-to-emit </w:t>
      </w:r>
      <w:r>
        <w:rPr>
          <w:sz w:val="24"/>
          <w:szCs w:val="24"/>
        </w:rPr>
        <w:t>particulate matter l</w:t>
      </w:r>
      <w:r w:rsidR="002B033D">
        <w:rPr>
          <w:sz w:val="24"/>
          <w:szCs w:val="24"/>
        </w:rPr>
        <w:t>ess than 10 µm in diameter (</w:t>
      </w:r>
      <w:r>
        <w:rPr>
          <w:sz w:val="24"/>
          <w:szCs w:val="24"/>
        </w:rPr>
        <w:t>PM</w:t>
      </w:r>
      <w:r w:rsidRPr="0022724B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)</w:t>
      </w:r>
      <w:r w:rsidRPr="00BA3BCF">
        <w:rPr>
          <w:sz w:val="24"/>
          <w:szCs w:val="24"/>
        </w:rPr>
        <w:t xml:space="preserve"> </w:t>
      </w:r>
      <w:r w:rsidR="002B033D">
        <w:rPr>
          <w:sz w:val="24"/>
          <w:szCs w:val="24"/>
        </w:rPr>
        <w:t xml:space="preserve">and particulate matter less than 2.5 </w:t>
      </w:r>
      <w:r w:rsidR="002B033D" w:rsidRPr="002B033D">
        <w:rPr>
          <w:sz w:val="24"/>
          <w:szCs w:val="24"/>
        </w:rPr>
        <w:t>µm in diameter (PM</w:t>
      </w:r>
      <w:r w:rsidR="002B033D">
        <w:rPr>
          <w:sz w:val="24"/>
          <w:szCs w:val="24"/>
          <w:vertAlign w:val="subscript"/>
        </w:rPr>
        <w:t>2.5</w:t>
      </w:r>
      <w:r w:rsidR="002B033D" w:rsidRPr="002B033D">
        <w:rPr>
          <w:sz w:val="24"/>
          <w:szCs w:val="24"/>
        </w:rPr>
        <w:t>)</w:t>
      </w:r>
      <w:r w:rsidR="002B033D">
        <w:rPr>
          <w:sz w:val="24"/>
          <w:szCs w:val="24"/>
        </w:rPr>
        <w:t xml:space="preserve"> respectively </w:t>
      </w:r>
      <w:r w:rsidRPr="00BA3BCF">
        <w:rPr>
          <w:sz w:val="24"/>
          <w:szCs w:val="24"/>
        </w:rPr>
        <w:t xml:space="preserve">exceed the </w:t>
      </w:r>
      <w:r w:rsidR="002B033D">
        <w:rPr>
          <w:sz w:val="24"/>
          <w:szCs w:val="24"/>
        </w:rPr>
        <w:t xml:space="preserve">applicable </w:t>
      </w:r>
      <w:r>
        <w:rPr>
          <w:sz w:val="24"/>
          <w:szCs w:val="24"/>
        </w:rPr>
        <w:t>Title V</w:t>
      </w:r>
      <w:r w:rsidRPr="00BA3BCF">
        <w:rPr>
          <w:sz w:val="24"/>
          <w:szCs w:val="24"/>
        </w:rPr>
        <w:t xml:space="preserve"> threshold of </w:t>
      </w:r>
      <w:r>
        <w:rPr>
          <w:sz w:val="24"/>
          <w:szCs w:val="24"/>
        </w:rPr>
        <w:t>100 tpy.</w:t>
      </w:r>
    </w:p>
    <w:p w14:paraId="3AEBAA45" w14:textId="77777777" w:rsidR="00DD63C9" w:rsidRDefault="00DD63C9" w:rsidP="00DD63C9">
      <w:pPr>
        <w:jc w:val="both"/>
        <w:rPr>
          <w:sz w:val="24"/>
          <w:szCs w:val="24"/>
        </w:rPr>
      </w:pPr>
    </w:p>
    <w:p w14:paraId="7DEFE783" w14:textId="77777777" w:rsidR="00DD63C9" w:rsidRDefault="002B033D" w:rsidP="00DD63C9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DD63C9" w:rsidRPr="00745B25">
        <w:rPr>
          <w:sz w:val="24"/>
          <w:szCs w:val="24"/>
        </w:rPr>
        <w:t>he facility’s potential</w:t>
      </w:r>
      <w:r w:rsidR="00DD63C9">
        <w:rPr>
          <w:sz w:val="24"/>
          <w:szCs w:val="24"/>
        </w:rPr>
        <w:t>-</w:t>
      </w:r>
      <w:r w:rsidR="00DD63C9" w:rsidRPr="00745B25">
        <w:rPr>
          <w:sz w:val="24"/>
          <w:szCs w:val="24"/>
        </w:rPr>
        <w:t>to</w:t>
      </w:r>
      <w:r w:rsidR="00DD63C9">
        <w:rPr>
          <w:sz w:val="24"/>
          <w:szCs w:val="24"/>
        </w:rPr>
        <w:t>-</w:t>
      </w:r>
      <w:r w:rsidR="00DD63C9" w:rsidRPr="00745B25">
        <w:rPr>
          <w:sz w:val="24"/>
          <w:szCs w:val="24"/>
        </w:rPr>
        <w:t xml:space="preserve">emit </w:t>
      </w:r>
      <w:r>
        <w:rPr>
          <w:sz w:val="24"/>
          <w:szCs w:val="24"/>
        </w:rPr>
        <w:t xml:space="preserve">hazardous air pollutants (HAPs) </w:t>
      </w:r>
      <w:r w:rsidR="00DD63C9">
        <w:rPr>
          <w:sz w:val="24"/>
          <w:szCs w:val="24"/>
        </w:rPr>
        <w:t xml:space="preserve">does not </w:t>
      </w:r>
      <w:r w:rsidR="00DD63C9" w:rsidRPr="00745B25">
        <w:rPr>
          <w:sz w:val="24"/>
          <w:szCs w:val="24"/>
        </w:rPr>
        <w:t xml:space="preserve">exceed </w:t>
      </w:r>
      <w:r>
        <w:rPr>
          <w:sz w:val="24"/>
          <w:szCs w:val="24"/>
        </w:rPr>
        <w:t>either</w:t>
      </w:r>
      <w:r w:rsidR="00DD63C9" w:rsidRPr="00745B25">
        <w:rPr>
          <w:sz w:val="24"/>
          <w:szCs w:val="24"/>
        </w:rPr>
        <w:t xml:space="preserve"> </w:t>
      </w:r>
      <w:r w:rsidR="00DD63C9">
        <w:rPr>
          <w:sz w:val="24"/>
          <w:szCs w:val="24"/>
        </w:rPr>
        <w:t>Title V</w:t>
      </w:r>
      <w:r w:rsidR="00DD63C9" w:rsidRPr="00745B25">
        <w:rPr>
          <w:sz w:val="24"/>
          <w:szCs w:val="24"/>
        </w:rPr>
        <w:t xml:space="preserve"> </w:t>
      </w:r>
      <w:r>
        <w:rPr>
          <w:sz w:val="24"/>
          <w:szCs w:val="24"/>
        </w:rPr>
        <w:t>major source</w:t>
      </w:r>
      <w:r w:rsidR="00DD63C9">
        <w:rPr>
          <w:sz w:val="24"/>
          <w:szCs w:val="24"/>
        </w:rPr>
        <w:t xml:space="preserve"> </w:t>
      </w:r>
      <w:r w:rsidR="00C71957">
        <w:rPr>
          <w:sz w:val="24"/>
          <w:szCs w:val="24"/>
        </w:rPr>
        <w:t>threshold</w:t>
      </w:r>
      <w:r w:rsidR="00DD63C9" w:rsidRPr="00745B25">
        <w:rPr>
          <w:sz w:val="24"/>
          <w:szCs w:val="24"/>
        </w:rPr>
        <w:t xml:space="preserve"> of 25 tons per year </w:t>
      </w:r>
      <w:r w:rsidR="00DD63C9">
        <w:rPr>
          <w:sz w:val="24"/>
          <w:szCs w:val="24"/>
        </w:rPr>
        <w:t>(tpy) for</w:t>
      </w:r>
      <w:r w:rsidR="00DD63C9" w:rsidRPr="00745B25">
        <w:rPr>
          <w:sz w:val="24"/>
          <w:szCs w:val="24"/>
        </w:rPr>
        <w:t xml:space="preserve"> </w:t>
      </w:r>
      <w:r w:rsidR="00DD63C9">
        <w:rPr>
          <w:sz w:val="24"/>
          <w:szCs w:val="24"/>
        </w:rPr>
        <w:t>all HAPs combined or</w:t>
      </w:r>
      <w:r w:rsidR="00DD63C9" w:rsidRPr="00745B25">
        <w:rPr>
          <w:sz w:val="24"/>
          <w:szCs w:val="24"/>
        </w:rPr>
        <w:t xml:space="preserve"> 10 </w:t>
      </w:r>
      <w:r w:rsidR="00DD63C9">
        <w:rPr>
          <w:sz w:val="24"/>
          <w:szCs w:val="24"/>
        </w:rPr>
        <w:t>tpy</w:t>
      </w:r>
      <w:r w:rsidR="00DD63C9" w:rsidRPr="00745B25">
        <w:rPr>
          <w:sz w:val="24"/>
          <w:szCs w:val="24"/>
        </w:rPr>
        <w:t xml:space="preserve"> for </w:t>
      </w:r>
      <w:r w:rsidR="00DD63C9">
        <w:rPr>
          <w:sz w:val="24"/>
          <w:szCs w:val="24"/>
        </w:rPr>
        <w:t xml:space="preserve">any </w:t>
      </w:r>
      <w:r w:rsidR="00DD63C9" w:rsidRPr="00745B25">
        <w:rPr>
          <w:sz w:val="24"/>
          <w:szCs w:val="24"/>
        </w:rPr>
        <w:t xml:space="preserve">individual </w:t>
      </w:r>
      <w:r w:rsidR="00DD63C9">
        <w:rPr>
          <w:sz w:val="24"/>
          <w:szCs w:val="24"/>
        </w:rPr>
        <w:t>HAP</w:t>
      </w:r>
      <w:r w:rsidR="00DD63C9" w:rsidRPr="00745B25">
        <w:rPr>
          <w:sz w:val="24"/>
          <w:szCs w:val="24"/>
        </w:rPr>
        <w:t>.</w:t>
      </w:r>
      <w:r w:rsidR="00DD63C9">
        <w:rPr>
          <w:sz w:val="24"/>
          <w:szCs w:val="24"/>
        </w:rPr>
        <w:t xml:space="preserve">  Consequently, </w:t>
      </w:r>
      <w:r w:rsidR="00C71957">
        <w:rPr>
          <w:sz w:val="24"/>
          <w:szCs w:val="24"/>
        </w:rPr>
        <w:t>this classifies EP as an area source for HAP emissions</w:t>
      </w:r>
      <w:r w:rsidR="00DD63C9">
        <w:rPr>
          <w:sz w:val="24"/>
          <w:szCs w:val="24"/>
        </w:rPr>
        <w:t>.</w:t>
      </w:r>
    </w:p>
    <w:p w14:paraId="7791939C" w14:textId="77777777" w:rsidR="009733EB" w:rsidRDefault="009733EB" w:rsidP="00104CE2">
      <w:pPr>
        <w:jc w:val="both"/>
        <w:rPr>
          <w:color w:val="4F81BD" w:themeColor="accent1"/>
          <w:sz w:val="24"/>
          <w:szCs w:val="24"/>
        </w:rPr>
      </w:pPr>
    </w:p>
    <w:p w14:paraId="26D8ADCD" w14:textId="77777777" w:rsidR="009733EB" w:rsidRPr="006A52EB" w:rsidRDefault="009733EB" w:rsidP="00577CB8">
      <w:pPr>
        <w:keepNext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>Facility-Wide Potential-to-Emit</w:t>
      </w:r>
      <w:r w:rsidR="00991620">
        <w:rPr>
          <w:b/>
          <w:sz w:val="24"/>
          <w:szCs w:val="24"/>
        </w:rPr>
        <w:t xml:space="preserve"> Summary</w:t>
      </w:r>
      <w:r w:rsidR="00ED2C87">
        <w:rPr>
          <w:b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160"/>
      </w:tblGrid>
      <w:tr w:rsidR="009733EB" w14:paraId="7C622870" w14:textId="77777777" w:rsidTr="00991620">
        <w:trPr>
          <w:tblHeader/>
        </w:trPr>
        <w:tc>
          <w:tcPr>
            <w:tcW w:w="307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905B20" w14:textId="77777777" w:rsidR="009733EB" w:rsidRPr="002B033D" w:rsidRDefault="009733EB" w:rsidP="002B033D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3D">
              <w:rPr>
                <w:b/>
                <w:sz w:val="24"/>
                <w:szCs w:val="24"/>
              </w:rPr>
              <w:t>Pollutant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04C9AA" w14:textId="77777777" w:rsidR="009733EB" w:rsidRPr="002B033D" w:rsidRDefault="009733EB" w:rsidP="002B033D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3D">
              <w:rPr>
                <w:b/>
                <w:sz w:val="24"/>
                <w:szCs w:val="24"/>
              </w:rPr>
              <w:t>PTE Emissions</w:t>
            </w:r>
          </w:p>
          <w:p w14:paraId="24B9864E" w14:textId="77777777" w:rsidR="009733EB" w:rsidRPr="002B033D" w:rsidRDefault="009733EB" w:rsidP="002B033D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3D">
              <w:rPr>
                <w:b/>
                <w:sz w:val="24"/>
                <w:szCs w:val="24"/>
              </w:rPr>
              <w:t>(tons/yr)</w:t>
            </w:r>
          </w:p>
        </w:tc>
      </w:tr>
      <w:tr w:rsidR="009733EB" w14:paraId="3478B1E6" w14:textId="77777777" w:rsidTr="009B7E5B">
        <w:tc>
          <w:tcPr>
            <w:tcW w:w="3078" w:type="dxa"/>
            <w:vAlign w:val="center"/>
          </w:tcPr>
          <w:p w14:paraId="5CB6432D" w14:textId="77777777" w:rsidR="009733EB" w:rsidRPr="006A52EB" w:rsidRDefault="009733EB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Particulate Matter</w:t>
            </w:r>
            <w:r w:rsidR="00D90F67">
              <w:rPr>
                <w:sz w:val="24"/>
                <w:szCs w:val="24"/>
              </w:rPr>
              <w:t xml:space="preserve"> (TSP)</w:t>
            </w:r>
          </w:p>
        </w:tc>
        <w:tc>
          <w:tcPr>
            <w:tcW w:w="2160" w:type="dxa"/>
            <w:vAlign w:val="center"/>
          </w:tcPr>
          <w:p w14:paraId="573C042A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243.69</w:t>
            </w:r>
          </w:p>
        </w:tc>
      </w:tr>
      <w:tr w:rsidR="009733EB" w14:paraId="336A7435" w14:textId="77777777" w:rsidTr="009B7E5B">
        <w:tc>
          <w:tcPr>
            <w:tcW w:w="3078" w:type="dxa"/>
            <w:vAlign w:val="center"/>
          </w:tcPr>
          <w:p w14:paraId="154D9AF3" w14:textId="77777777" w:rsidR="009733EB" w:rsidRPr="006A52EB" w:rsidRDefault="009733EB" w:rsidP="002B033D">
            <w:pPr>
              <w:spacing w:before="60" w:after="6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60" w:type="dxa"/>
            <w:vAlign w:val="center"/>
          </w:tcPr>
          <w:p w14:paraId="5D3E2050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243.69</w:t>
            </w:r>
          </w:p>
        </w:tc>
      </w:tr>
      <w:tr w:rsidR="009733EB" w14:paraId="61CFBECF" w14:textId="77777777" w:rsidTr="009B7E5B">
        <w:tc>
          <w:tcPr>
            <w:tcW w:w="3078" w:type="dxa"/>
            <w:vAlign w:val="center"/>
          </w:tcPr>
          <w:p w14:paraId="15F8D240" w14:textId="77777777" w:rsidR="009733EB" w:rsidRPr="006A52EB" w:rsidRDefault="009733EB" w:rsidP="002B033D">
            <w:pPr>
              <w:spacing w:before="60" w:after="6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160" w:type="dxa"/>
            <w:vAlign w:val="center"/>
          </w:tcPr>
          <w:p w14:paraId="05A68F2F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243.69</w:t>
            </w:r>
          </w:p>
        </w:tc>
      </w:tr>
      <w:tr w:rsidR="009733EB" w14:paraId="3CEC4F65" w14:textId="77777777" w:rsidTr="009B7E5B">
        <w:tc>
          <w:tcPr>
            <w:tcW w:w="3078" w:type="dxa"/>
            <w:vAlign w:val="center"/>
          </w:tcPr>
          <w:p w14:paraId="79D80900" w14:textId="77777777" w:rsidR="009733EB" w:rsidRPr="006A52EB" w:rsidRDefault="00D90F67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Sulfur Dioxide (SO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6FDE443A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16.13</w:t>
            </w:r>
          </w:p>
        </w:tc>
      </w:tr>
      <w:tr w:rsidR="009733EB" w14:paraId="21D6D4A7" w14:textId="77777777" w:rsidTr="009B7E5B">
        <w:tc>
          <w:tcPr>
            <w:tcW w:w="3078" w:type="dxa"/>
            <w:vAlign w:val="center"/>
          </w:tcPr>
          <w:p w14:paraId="50AEA5F0" w14:textId="77777777" w:rsidR="009733EB" w:rsidRPr="006A52EB" w:rsidRDefault="00D90F67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 Oxides (NO</w:t>
            </w:r>
            <w:r>
              <w:rPr>
                <w:sz w:val="24"/>
                <w:szCs w:val="24"/>
                <w:vertAlign w:val="subscript"/>
              </w:rPr>
              <w:t>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5720D6A1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60.07</w:t>
            </w:r>
          </w:p>
        </w:tc>
      </w:tr>
      <w:tr w:rsidR="009733EB" w14:paraId="7B4AE1E2" w14:textId="77777777" w:rsidTr="009B7E5B">
        <w:tc>
          <w:tcPr>
            <w:tcW w:w="3078" w:type="dxa"/>
            <w:vAlign w:val="center"/>
          </w:tcPr>
          <w:p w14:paraId="49A8CF4D" w14:textId="77777777" w:rsidR="009733EB" w:rsidRPr="006A52EB" w:rsidRDefault="00D90F67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Monoxide (CO)</w:t>
            </w:r>
          </w:p>
        </w:tc>
        <w:tc>
          <w:tcPr>
            <w:tcW w:w="2160" w:type="dxa"/>
            <w:vAlign w:val="center"/>
          </w:tcPr>
          <w:p w14:paraId="6C25A57F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50.92</w:t>
            </w:r>
          </w:p>
        </w:tc>
      </w:tr>
      <w:tr w:rsidR="00D90F67" w14:paraId="3C66B67D" w14:textId="77777777" w:rsidTr="009B7E5B">
        <w:tc>
          <w:tcPr>
            <w:tcW w:w="3078" w:type="dxa"/>
            <w:vAlign w:val="center"/>
          </w:tcPr>
          <w:p w14:paraId="02C898E9" w14:textId="77777777" w:rsidR="00D90F67" w:rsidRDefault="00D90F67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 Organic Compounds (VOC</w:t>
            </w:r>
            <w:r w:rsidR="009B7E5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649ED538" w14:textId="77777777" w:rsidR="00D90F67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24.30</w:t>
            </w:r>
          </w:p>
        </w:tc>
      </w:tr>
      <w:tr w:rsidR="009733EB" w14:paraId="586E7B03" w14:textId="77777777" w:rsidTr="009B7E5B">
        <w:tc>
          <w:tcPr>
            <w:tcW w:w="3078" w:type="dxa"/>
            <w:vAlign w:val="center"/>
          </w:tcPr>
          <w:p w14:paraId="4B73AE87" w14:textId="77777777" w:rsidR="009733EB" w:rsidRPr="006A52EB" w:rsidRDefault="00280FAA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Reduced Sulfur (TRS)</w:t>
            </w:r>
          </w:p>
        </w:tc>
        <w:tc>
          <w:tcPr>
            <w:tcW w:w="2160" w:type="dxa"/>
            <w:vAlign w:val="center"/>
          </w:tcPr>
          <w:p w14:paraId="2FFB5812" w14:textId="77777777" w:rsidR="009733EB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FAA" w14:paraId="73717025" w14:textId="77777777" w:rsidTr="009B7E5B">
        <w:tc>
          <w:tcPr>
            <w:tcW w:w="3078" w:type="dxa"/>
            <w:vAlign w:val="center"/>
          </w:tcPr>
          <w:p w14:paraId="2171FF14" w14:textId="77777777" w:rsidR="00280FAA" w:rsidRDefault="00280FAA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160" w:type="dxa"/>
            <w:vAlign w:val="center"/>
          </w:tcPr>
          <w:p w14:paraId="2D5365B4" w14:textId="77777777" w:rsidR="00280FAA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FAA" w14:paraId="1375B228" w14:textId="77777777" w:rsidTr="009B7E5B">
        <w:tc>
          <w:tcPr>
            <w:tcW w:w="3078" w:type="dxa"/>
            <w:vAlign w:val="center"/>
          </w:tcPr>
          <w:p w14:paraId="61E83FC3" w14:textId="77777777" w:rsidR="00280FAA" w:rsidRDefault="00280FAA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CFC/HCFC</w:t>
            </w:r>
          </w:p>
        </w:tc>
        <w:tc>
          <w:tcPr>
            <w:tcW w:w="2160" w:type="dxa"/>
            <w:vAlign w:val="center"/>
          </w:tcPr>
          <w:p w14:paraId="25E313A7" w14:textId="77777777" w:rsidR="00280FAA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FAA" w14:paraId="1788675B" w14:textId="77777777" w:rsidTr="009B7E5B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14:paraId="25405CC2" w14:textId="77777777" w:rsidR="00280FAA" w:rsidRDefault="00280FAA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HAP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133491B" w14:textId="77777777" w:rsidR="00280FAA" w:rsidRPr="006A52EB" w:rsidRDefault="00B56B85" w:rsidP="002B03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6.85</w:t>
            </w:r>
          </w:p>
        </w:tc>
      </w:tr>
    </w:tbl>
    <w:p w14:paraId="66F1B9AA" w14:textId="77777777" w:rsidR="009733EB" w:rsidRPr="006A52EB" w:rsidRDefault="00ED2C87" w:rsidP="00104CE2">
      <w:pPr>
        <w:jc w:val="both"/>
        <w:rPr>
          <w:szCs w:val="24"/>
        </w:rPr>
      </w:pPr>
      <w:r w:rsidRPr="006A52EB">
        <w:rPr>
          <w:szCs w:val="24"/>
          <w:vertAlign w:val="superscript"/>
        </w:rPr>
        <w:t>1</w:t>
      </w:r>
      <w:r w:rsidRPr="006A52EB">
        <w:rPr>
          <w:szCs w:val="24"/>
        </w:rPr>
        <w:t xml:space="preserve"> The PTE emissions reflect any emission limits or enforceable restrictions included in the proposed permit.</w:t>
      </w:r>
    </w:p>
    <w:p w14:paraId="626CA405" w14:textId="77777777" w:rsidR="00BA3BCF" w:rsidRDefault="00BA3BCF" w:rsidP="00104CE2">
      <w:pPr>
        <w:jc w:val="both"/>
        <w:rPr>
          <w:sz w:val="24"/>
          <w:szCs w:val="24"/>
        </w:rPr>
      </w:pPr>
    </w:p>
    <w:p w14:paraId="7CDD37EB" w14:textId="77777777" w:rsidR="00BA3BCF" w:rsidRDefault="00BA3BCF" w:rsidP="00BA3BCF">
      <w:pPr>
        <w:jc w:val="both"/>
        <w:rPr>
          <w:sz w:val="24"/>
          <w:szCs w:val="24"/>
          <w:u w:val="single"/>
        </w:rPr>
      </w:pPr>
      <w:r w:rsidRPr="00AD7559">
        <w:rPr>
          <w:sz w:val="24"/>
          <w:szCs w:val="24"/>
          <w:u w:val="single"/>
        </w:rPr>
        <w:t>PREVENTION OF SIGNIFICANT DETERIORATION (PSD) APPLICABILITY</w:t>
      </w:r>
    </w:p>
    <w:p w14:paraId="4DB725FC" w14:textId="77777777" w:rsidR="00C71957" w:rsidRDefault="00C71957" w:rsidP="00104CE2">
      <w:pPr>
        <w:jc w:val="both"/>
        <w:rPr>
          <w:color w:val="000000"/>
          <w:sz w:val="24"/>
          <w:szCs w:val="24"/>
        </w:rPr>
      </w:pPr>
    </w:p>
    <w:p w14:paraId="063918E1" w14:textId="77777777" w:rsidR="00BA3BCF" w:rsidRDefault="00DD63C9" w:rsidP="00104CE2">
      <w:pPr>
        <w:jc w:val="both"/>
        <w:rPr>
          <w:sz w:val="24"/>
          <w:szCs w:val="24"/>
        </w:rPr>
      </w:pPr>
      <w:r w:rsidRPr="00DD63C9">
        <w:rPr>
          <w:color w:val="000000"/>
          <w:sz w:val="24"/>
          <w:szCs w:val="24"/>
        </w:rPr>
        <w:t>The facility is not one (1) of the twenty-eight (28) categorical facilities listed in 40 CFR 52.21(b)(1)(i)(c)(iii); the</w:t>
      </w:r>
      <w:r w:rsidR="009A732B">
        <w:rPr>
          <w:color w:val="000000"/>
          <w:sz w:val="24"/>
          <w:szCs w:val="24"/>
        </w:rPr>
        <w:t xml:space="preserve">refore, the PSD threshold for the facility </w:t>
      </w:r>
      <w:r w:rsidRPr="00DD63C9">
        <w:rPr>
          <w:color w:val="000000"/>
          <w:sz w:val="24"/>
          <w:szCs w:val="24"/>
        </w:rPr>
        <w:t xml:space="preserve">is 250 tpy.  </w:t>
      </w:r>
      <w:r w:rsidR="009A732B">
        <w:rPr>
          <w:sz w:val="24"/>
          <w:szCs w:val="24"/>
        </w:rPr>
        <w:t>Based on its maximum uncontrolled emissions, EPA</w:t>
      </w:r>
      <w:r w:rsidRPr="00B574F1">
        <w:rPr>
          <w:sz w:val="24"/>
          <w:szCs w:val="24"/>
        </w:rPr>
        <w:t xml:space="preserve"> has the potential</w:t>
      </w:r>
      <w:r>
        <w:rPr>
          <w:sz w:val="24"/>
          <w:szCs w:val="24"/>
        </w:rPr>
        <w:t>-</w:t>
      </w:r>
      <w:r w:rsidRPr="00B574F1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B574F1">
        <w:rPr>
          <w:sz w:val="24"/>
          <w:szCs w:val="24"/>
        </w:rPr>
        <w:t xml:space="preserve">emit </w:t>
      </w:r>
      <w:r w:rsidR="009A732B">
        <w:rPr>
          <w:sz w:val="24"/>
          <w:szCs w:val="24"/>
        </w:rPr>
        <w:t xml:space="preserve">particulate matter (PM) in excess of </w:t>
      </w:r>
      <w:r w:rsidRPr="00B574F1">
        <w:rPr>
          <w:sz w:val="24"/>
          <w:szCs w:val="24"/>
        </w:rPr>
        <w:t xml:space="preserve">250 </w:t>
      </w:r>
      <w:r>
        <w:rPr>
          <w:sz w:val="24"/>
          <w:szCs w:val="24"/>
        </w:rPr>
        <w:t>tpy</w:t>
      </w:r>
      <w:r w:rsidR="009A732B">
        <w:rPr>
          <w:sz w:val="24"/>
          <w:szCs w:val="24"/>
        </w:rPr>
        <w:t>.</w:t>
      </w:r>
      <w:r w:rsidRPr="00B574F1">
        <w:rPr>
          <w:sz w:val="24"/>
          <w:szCs w:val="24"/>
        </w:rPr>
        <w:t xml:space="preserve"> </w:t>
      </w:r>
      <w:r w:rsidR="009A732B">
        <w:rPr>
          <w:sz w:val="24"/>
          <w:szCs w:val="24"/>
        </w:rPr>
        <w:t xml:space="preserve"> However,</w:t>
      </w:r>
      <w:r w:rsidRPr="00B574F1">
        <w:rPr>
          <w:sz w:val="24"/>
          <w:szCs w:val="24"/>
        </w:rPr>
        <w:t xml:space="preserve"> </w:t>
      </w:r>
      <w:r>
        <w:rPr>
          <w:sz w:val="24"/>
          <w:szCs w:val="24"/>
        </w:rPr>
        <w:t>the utilization of dust collectors throughout the fac</w:t>
      </w:r>
      <w:r w:rsidR="009A732B">
        <w:rPr>
          <w:sz w:val="24"/>
          <w:szCs w:val="24"/>
        </w:rPr>
        <w:t xml:space="preserve">ility reduces PM </w:t>
      </w:r>
      <w:r>
        <w:rPr>
          <w:sz w:val="24"/>
          <w:szCs w:val="24"/>
        </w:rPr>
        <w:t xml:space="preserve">emissions </w:t>
      </w:r>
      <w:r w:rsidR="009A732B">
        <w:rPr>
          <w:sz w:val="24"/>
          <w:szCs w:val="24"/>
        </w:rPr>
        <w:t xml:space="preserve">facility-wide </w:t>
      </w:r>
      <w:r>
        <w:rPr>
          <w:sz w:val="24"/>
          <w:szCs w:val="24"/>
        </w:rPr>
        <w:t xml:space="preserve">below the noted PSD threshold. </w:t>
      </w:r>
      <w:r w:rsidR="009A73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574F1">
        <w:rPr>
          <w:sz w:val="24"/>
          <w:szCs w:val="24"/>
        </w:rPr>
        <w:t xml:space="preserve">herefore, the facility is considered a moderate stationary source. </w:t>
      </w:r>
      <w:r>
        <w:rPr>
          <w:sz w:val="24"/>
          <w:szCs w:val="24"/>
        </w:rPr>
        <w:t xml:space="preserve"> </w:t>
      </w:r>
      <w:r w:rsidRPr="006D03A8">
        <w:rPr>
          <w:sz w:val="24"/>
          <w:szCs w:val="24"/>
        </w:rPr>
        <w:t xml:space="preserve">No modification to the facility </w:t>
      </w:r>
      <w:r>
        <w:rPr>
          <w:sz w:val="24"/>
          <w:szCs w:val="24"/>
        </w:rPr>
        <w:t>is</w:t>
      </w:r>
      <w:r w:rsidRPr="006D03A8">
        <w:rPr>
          <w:sz w:val="24"/>
          <w:szCs w:val="24"/>
        </w:rPr>
        <w:t xml:space="preserve"> proposed with this permitting action; therefore, PSD applicability was not evaluated during the Title V renewal.</w:t>
      </w:r>
    </w:p>
    <w:p w14:paraId="577C2B88" w14:textId="77777777" w:rsidR="00DD63C9" w:rsidRDefault="00DD63C9" w:rsidP="00104CE2">
      <w:pPr>
        <w:jc w:val="both"/>
        <w:rPr>
          <w:sz w:val="24"/>
          <w:szCs w:val="24"/>
          <w:u w:val="single"/>
        </w:rPr>
      </w:pPr>
    </w:p>
    <w:p w14:paraId="519ED84C" w14:textId="77777777" w:rsidR="00BA3BCF" w:rsidRDefault="00BA3BCF" w:rsidP="00BA3BC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FACILITY MODIFICATIONS AND/OR PERMIT CHANGES</w:t>
      </w:r>
    </w:p>
    <w:p w14:paraId="55DCB7EC" w14:textId="77777777" w:rsidR="009A732B" w:rsidRDefault="009A732B" w:rsidP="00DD63C9">
      <w:pPr>
        <w:jc w:val="both"/>
        <w:rPr>
          <w:color w:val="000000"/>
          <w:sz w:val="24"/>
          <w:szCs w:val="24"/>
        </w:rPr>
      </w:pPr>
    </w:p>
    <w:p w14:paraId="0F88AA2F" w14:textId="3740E287" w:rsidR="00DD63C9" w:rsidRPr="00DD63C9" w:rsidRDefault="009A732B" w:rsidP="00DD63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</w:t>
      </w:r>
      <w:r w:rsidR="00DD63C9" w:rsidRPr="00DD63C9">
        <w:rPr>
          <w:color w:val="000000"/>
          <w:sz w:val="24"/>
          <w:szCs w:val="24"/>
        </w:rPr>
        <w:t xml:space="preserve"> has not requested any physical modifications as part of this permitting action.  However, new permit requirements have been included, which require quarterly opacity evaluations for Emission Point AA-029</w:t>
      </w:r>
      <w:r>
        <w:rPr>
          <w:color w:val="000000"/>
          <w:sz w:val="24"/>
          <w:szCs w:val="24"/>
        </w:rPr>
        <w:t xml:space="preserve"> (</w:t>
      </w:r>
      <w:r w:rsidRPr="009A732B">
        <w:rPr>
          <w:color w:val="000000"/>
          <w:sz w:val="24"/>
          <w:szCs w:val="24"/>
        </w:rPr>
        <w:t>4.0 MMBTU / Hour Natural-Gas Fired Roller Compactor Fluid Bed Dryer</w:t>
      </w:r>
      <w:r>
        <w:rPr>
          <w:color w:val="000000"/>
          <w:sz w:val="24"/>
          <w:szCs w:val="24"/>
        </w:rPr>
        <w:t>)</w:t>
      </w:r>
      <w:r w:rsidR="00DD63C9" w:rsidRPr="00DD63C9">
        <w:rPr>
          <w:color w:val="000000"/>
          <w:sz w:val="24"/>
          <w:szCs w:val="24"/>
        </w:rPr>
        <w:t xml:space="preserve">.  Additionally, numerous permit conditions </w:t>
      </w:r>
      <w:r>
        <w:rPr>
          <w:color w:val="000000"/>
          <w:sz w:val="24"/>
          <w:szCs w:val="24"/>
        </w:rPr>
        <w:t>have been incorporated into the draft permit</w:t>
      </w:r>
      <w:r w:rsidR="00DD63C9" w:rsidRPr="00DD63C9">
        <w:rPr>
          <w:color w:val="000000"/>
          <w:sz w:val="24"/>
          <w:szCs w:val="24"/>
        </w:rPr>
        <w:t xml:space="preserve"> </w:t>
      </w:r>
      <w:r w:rsidR="00043212">
        <w:rPr>
          <w:color w:val="000000"/>
          <w:sz w:val="24"/>
          <w:szCs w:val="24"/>
        </w:rPr>
        <w:t xml:space="preserve">in order to more define the requirements specified by NSPS – Subpart </w:t>
      </w:r>
      <w:r w:rsidR="00DD63C9" w:rsidRPr="00DD63C9">
        <w:rPr>
          <w:color w:val="000000"/>
          <w:sz w:val="24"/>
          <w:szCs w:val="24"/>
        </w:rPr>
        <w:t xml:space="preserve">OOO and </w:t>
      </w:r>
      <w:r w:rsidR="00043212">
        <w:rPr>
          <w:color w:val="000000"/>
          <w:sz w:val="24"/>
          <w:szCs w:val="24"/>
        </w:rPr>
        <w:t xml:space="preserve">NSPS – Subpart </w:t>
      </w:r>
      <w:r w:rsidR="00DD63C9" w:rsidRPr="00DD63C9">
        <w:rPr>
          <w:color w:val="000000"/>
          <w:sz w:val="24"/>
          <w:szCs w:val="24"/>
        </w:rPr>
        <w:t xml:space="preserve">UUU that were </w:t>
      </w:r>
      <w:r w:rsidR="00043212">
        <w:rPr>
          <w:color w:val="000000"/>
          <w:sz w:val="24"/>
          <w:szCs w:val="24"/>
        </w:rPr>
        <w:t xml:space="preserve">formerly </w:t>
      </w:r>
      <w:r w:rsidR="00DD63C9" w:rsidRPr="00DD63C9">
        <w:rPr>
          <w:color w:val="000000"/>
          <w:sz w:val="24"/>
          <w:szCs w:val="24"/>
        </w:rPr>
        <w:t>generalized in the prior Title V Operating Permit.</w:t>
      </w:r>
    </w:p>
    <w:p w14:paraId="08F59190" w14:textId="77777777" w:rsidR="00BA3BCF" w:rsidRDefault="00BA3BCF" w:rsidP="00104CE2">
      <w:pPr>
        <w:jc w:val="both"/>
        <w:rPr>
          <w:sz w:val="24"/>
          <w:szCs w:val="24"/>
          <w:u w:val="single"/>
        </w:rPr>
      </w:pPr>
    </w:p>
    <w:p w14:paraId="4FDDF589" w14:textId="77777777" w:rsidR="00531513" w:rsidRDefault="00AB6090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COMPLIANCE ASSURANCE MONITORING (</w:t>
      </w:r>
      <w:r w:rsidR="00531513">
        <w:rPr>
          <w:sz w:val="24"/>
          <w:szCs w:val="24"/>
          <w:u w:val="single"/>
        </w:rPr>
        <w:t>CAM</w:t>
      </w:r>
      <w:r>
        <w:rPr>
          <w:sz w:val="24"/>
          <w:szCs w:val="24"/>
          <w:u w:val="single"/>
        </w:rPr>
        <w:t>)</w:t>
      </w:r>
      <w:r w:rsidR="00531513">
        <w:rPr>
          <w:sz w:val="24"/>
          <w:szCs w:val="24"/>
          <w:u w:val="single"/>
        </w:rPr>
        <w:t xml:space="preserve"> APPLICABILITY</w:t>
      </w:r>
    </w:p>
    <w:p w14:paraId="112179C4" w14:textId="77777777" w:rsidR="00043212" w:rsidRDefault="00043212" w:rsidP="00104CE2">
      <w:pPr>
        <w:jc w:val="both"/>
        <w:rPr>
          <w:sz w:val="24"/>
          <w:szCs w:val="24"/>
        </w:rPr>
      </w:pPr>
    </w:p>
    <w:p w14:paraId="4C490462" w14:textId="77777777" w:rsidR="00AD7559" w:rsidRPr="00AD7559" w:rsidRDefault="00AD7559" w:rsidP="00104CE2">
      <w:pPr>
        <w:jc w:val="both"/>
        <w:rPr>
          <w:sz w:val="24"/>
          <w:szCs w:val="24"/>
        </w:rPr>
      </w:pPr>
      <w:r w:rsidRPr="00AD7559">
        <w:rPr>
          <w:sz w:val="24"/>
          <w:szCs w:val="24"/>
        </w:rPr>
        <w:t xml:space="preserve">40 CFR Part 64 specifies the requirements for </w:t>
      </w:r>
      <w:r w:rsidR="00AB6090">
        <w:rPr>
          <w:sz w:val="24"/>
          <w:szCs w:val="24"/>
        </w:rPr>
        <w:t>CAM</w:t>
      </w:r>
      <w:r w:rsidRPr="00AD7559">
        <w:rPr>
          <w:sz w:val="24"/>
          <w:szCs w:val="24"/>
        </w:rPr>
        <w:t xml:space="preserve">.  The general applicability of this rule can be found in 40 CFR 64.2 and requires a Title V source to comply with the CAM requirements if </w:t>
      </w:r>
      <w:r>
        <w:rPr>
          <w:sz w:val="24"/>
          <w:szCs w:val="24"/>
        </w:rPr>
        <w:t>all three of the</w:t>
      </w:r>
      <w:r w:rsidRPr="00AD7559">
        <w:rPr>
          <w:sz w:val="24"/>
          <w:szCs w:val="24"/>
        </w:rPr>
        <w:t xml:space="preserve"> following criteria are met</w:t>
      </w:r>
      <w:r w:rsidR="006F0510">
        <w:rPr>
          <w:sz w:val="24"/>
          <w:szCs w:val="24"/>
        </w:rPr>
        <w:t xml:space="preserve"> for a pollutant-specific emission unit (PSEU)</w:t>
      </w:r>
      <w:r w:rsidRPr="00AD7559">
        <w:rPr>
          <w:sz w:val="24"/>
          <w:szCs w:val="24"/>
        </w:rPr>
        <w:t>:</w:t>
      </w:r>
    </w:p>
    <w:p w14:paraId="2839F593" w14:textId="77777777" w:rsidR="00AD7559" w:rsidRPr="00AD7559" w:rsidRDefault="00AD7559" w:rsidP="00104CE2">
      <w:pPr>
        <w:jc w:val="both"/>
        <w:rPr>
          <w:sz w:val="24"/>
          <w:szCs w:val="24"/>
        </w:rPr>
      </w:pPr>
    </w:p>
    <w:p w14:paraId="528ED74D" w14:textId="77777777" w:rsidR="00AD7559" w:rsidRDefault="00AD7559" w:rsidP="00104CE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RPr="00AD7559">
        <w:rPr>
          <w:sz w:val="24"/>
          <w:szCs w:val="24"/>
        </w:rPr>
        <w:t>The unit is subject to an emission limitation or standard for a regulated air pollutant other than exem</w:t>
      </w:r>
      <w:r>
        <w:rPr>
          <w:sz w:val="24"/>
          <w:szCs w:val="24"/>
        </w:rPr>
        <w:t>ptions under 40 CFR 64.2(b)(1);</w:t>
      </w:r>
    </w:p>
    <w:p w14:paraId="4CE68914" w14:textId="77777777" w:rsidR="00043212" w:rsidRPr="00AD7559" w:rsidRDefault="00043212" w:rsidP="00043212">
      <w:pPr>
        <w:ind w:left="720"/>
        <w:jc w:val="both"/>
        <w:rPr>
          <w:sz w:val="24"/>
          <w:szCs w:val="24"/>
        </w:rPr>
      </w:pPr>
    </w:p>
    <w:p w14:paraId="43259184" w14:textId="77777777" w:rsidR="00AD7559" w:rsidRDefault="00AD7559" w:rsidP="00104CE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RPr="00AD7559">
        <w:rPr>
          <w:sz w:val="24"/>
          <w:szCs w:val="24"/>
        </w:rPr>
        <w:t xml:space="preserve">The unit uses a control device to </w:t>
      </w:r>
      <w:r>
        <w:rPr>
          <w:sz w:val="24"/>
          <w:szCs w:val="24"/>
        </w:rPr>
        <w:t>comply with</w:t>
      </w:r>
      <w:r w:rsidRPr="00AD7559">
        <w:rPr>
          <w:sz w:val="24"/>
          <w:szCs w:val="24"/>
        </w:rPr>
        <w:t xml:space="preserve"> the standard</w:t>
      </w:r>
      <w:r>
        <w:rPr>
          <w:sz w:val="24"/>
          <w:szCs w:val="24"/>
        </w:rPr>
        <w:t>;</w:t>
      </w:r>
      <w:r w:rsidRPr="00AD7559">
        <w:rPr>
          <w:sz w:val="24"/>
          <w:szCs w:val="24"/>
        </w:rPr>
        <w:t xml:space="preserve"> and</w:t>
      </w:r>
    </w:p>
    <w:p w14:paraId="134C5936" w14:textId="77777777" w:rsidR="00043212" w:rsidRPr="00AD7559" w:rsidRDefault="00043212" w:rsidP="00043212">
      <w:pPr>
        <w:ind w:left="720"/>
        <w:jc w:val="both"/>
        <w:rPr>
          <w:sz w:val="24"/>
          <w:szCs w:val="24"/>
        </w:rPr>
      </w:pPr>
    </w:p>
    <w:p w14:paraId="73072170" w14:textId="77777777" w:rsidR="00AD7559" w:rsidRPr="00AD7559" w:rsidRDefault="00AD7559" w:rsidP="00104CE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RPr="00AD7559">
        <w:rPr>
          <w:sz w:val="24"/>
          <w:szCs w:val="24"/>
        </w:rPr>
        <w:t xml:space="preserve">The unit has pre-control emissions exceeding </w:t>
      </w:r>
      <w:r w:rsidR="00C72133">
        <w:rPr>
          <w:sz w:val="24"/>
          <w:szCs w:val="24"/>
        </w:rPr>
        <w:t>Title V major source threshold</w:t>
      </w:r>
      <w:r w:rsidRPr="00AD7559">
        <w:rPr>
          <w:sz w:val="24"/>
          <w:szCs w:val="24"/>
        </w:rPr>
        <w:t>.</w:t>
      </w:r>
    </w:p>
    <w:p w14:paraId="739AC80F" w14:textId="77777777" w:rsidR="00AD7559" w:rsidRPr="00AD7559" w:rsidRDefault="00AD7559" w:rsidP="00104CE2">
      <w:pPr>
        <w:jc w:val="both"/>
        <w:rPr>
          <w:sz w:val="24"/>
          <w:szCs w:val="24"/>
        </w:rPr>
      </w:pPr>
    </w:p>
    <w:p w14:paraId="13F9E9C1" w14:textId="77777777" w:rsidR="00DD63C9" w:rsidRDefault="00DD63C9" w:rsidP="00DD63C9">
      <w:pPr>
        <w:jc w:val="both"/>
        <w:rPr>
          <w:color w:val="000000"/>
          <w:sz w:val="24"/>
          <w:szCs w:val="24"/>
        </w:rPr>
      </w:pPr>
      <w:r w:rsidRPr="00DD63C9">
        <w:rPr>
          <w:color w:val="000000"/>
          <w:sz w:val="24"/>
          <w:szCs w:val="24"/>
        </w:rPr>
        <w:t xml:space="preserve">As the </w:t>
      </w:r>
      <w:r w:rsidR="00043212">
        <w:rPr>
          <w:color w:val="000000"/>
          <w:sz w:val="24"/>
          <w:szCs w:val="24"/>
        </w:rPr>
        <w:t xml:space="preserve">calculated </w:t>
      </w:r>
      <w:r w:rsidRPr="00DD63C9">
        <w:rPr>
          <w:color w:val="000000"/>
          <w:sz w:val="24"/>
          <w:szCs w:val="24"/>
        </w:rPr>
        <w:t xml:space="preserve">pre-control </w:t>
      </w:r>
      <w:r w:rsidR="00043212">
        <w:rPr>
          <w:color w:val="000000"/>
          <w:sz w:val="24"/>
          <w:szCs w:val="24"/>
        </w:rPr>
        <w:t>particulate matter (PM)</w:t>
      </w:r>
      <w:r w:rsidRPr="00DD63C9">
        <w:rPr>
          <w:color w:val="000000"/>
          <w:sz w:val="24"/>
          <w:szCs w:val="24"/>
        </w:rPr>
        <w:t xml:space="preserve"> emissions </w:t>
      </w:r>
      <w:r w:rsidR="00043212">
        <w:rPr>
          <w:color w:val="000000"/>
          <w:sz w:val="24"/>
          <w:szCs w:val="24"/>
        </w:rPr>
        <w:t>for several process units exceed 100 tpy, PM</w:t>
      </w:r>
      <w:r w:rsidR="009B7E5B">
        <w:rPr>
          <w:color w:val="000000"/>
          <w:sz w:val="24"/>
          <w:szCs w:val="24"/>
        </w:rPr>
        <w:t xml:space="preserve"> is not considered at a regulated air pollutant</w:t>
      </w:r>
      <w:r w:rsidR="00043212">
        <w:rPr>
          <w:color w:val="000000"/>
          <w:sz w:val="24"/>
          <w:szCs w:val="24"/>
        </w:rPr>
        <w:t xml:space="preserve"> under Part 70 of the Clean Air Act.  Therefore, </w:t>
      </w:r>
      <w:r w:rsidRPr="00DD63C9">
        <w:rPr>
          <w:color w:val="000000"/>
          <w:sz w:val="24"/>
          <w:szCs w:val="24"/>
        </w:rPr>
        <w:t>Compliance Assurance Monitoring does not apply.</w:t>
      </w:r>
    </w:p>
    <w:p w14:paraId="75893FCA" w14:textId="77777777" w:rsidR="00DD63C9" w:rsidRPr="00DD63C9" w:rsidRDefault="00DD63C9" w:rsidP="00DD63C9">
      <w:pPr>
        <w:jc w:val="both"/>
        <w:rPr>
          <w:color w:val="000000"/>
          <w:sz w:val="24"/>
          <w:szCs w:val="24"/>
        </w:rPr>
      </w:pPr>
    </w:p>
    <w:p w14:paraId="2D612ECE" w14:textId="77777777" w:rsidR="00C72133" w:rsidRDefault="00C72133" w:rsidP="00AD7559">
      <w:pPr>
        <w:jc w:val="both"/>
        <w:rPr>
          <w:sz w:val="24"/>
          <w:szCs w:val="24"/>
        </w:rPr>
      </w:pPr>
    </w:p>
    <w:p w14:paraId="044D6995" w14:textId="77777777" w:rsidR="00531513" w:rsidRDefault="00AE4F70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NATIONAL EMISSION STANDARDS FOR HAZARDOUS AIR POLLUTANTS (NESHAP) </w:t>
      </w:r>
      <w:r w:rsidR="00531513">
        <w:rPr>
          <w:sz w:val="24"/>
          <w:szCs w:val="24"/>
          <w:u w:val="single"/>
        </w:rPr>
        <w:t>APPLICABILITY</w:t>
      </w:r>
    </w:p>
    <w:p w14:paraId="28D83D51" w14:textId="77777777" w:rsidR="00AE4F70" w:rsidRDefault="00043212" w:rsidP="00104CE2">
      <w:pPr>
        <w:jc w:val="both"/>
        <w:rPr>
          <w:sz w:val="24"/>
          <w:szCs w:val="24"/>
        </w:rPr>
      </w:pPr>
      <w:r>
        <w:rPr>
          <w:sz w:val="24"/>
          <w:szCs w:val="24"/>
        </w:rPr>
        <w:t>EP</w:t>
      </w:r>
      <w:r w:rsidR="00DD63C9" w:rsidRPr="00DD63C9">
        <w:rPr>
          <w:sz w:val="24"/>
          <w:szCs w:val="24"/>
        </w:rPr>
        <w:t xml:space="preserve"> is an </w:t>
      </w:r>
      <w:r>
        <w:rPr>
          <w:sz w:val="24"/>
          <w:szCs w:val="24"/>
        </w:rPr>
        <w:t>area source for HAP emissions</w:t>
      </w:r>
      <w:r w:rsidR="00DD63C9" w:rsidRPr="00DD63C9">
        <w:rPr>
          <w:sz w:val="24"/>
          <w:szCs w:val="24"/>
        </w:rPr>
        <w:t xml:space="preserve">, since the facility does not have the potential to emit more than 25 tpy of </w:t>
      </w:r>
      <w:r w:rsidR="00331392">
        <w:rPr>
          <w:sz w:val="24"/>
          <w:szCs w:val="24"/>
        </w:rPr>
        <w:t>all</w:t>
      </w:r>
      <w:r w:rsidR="00DD63C9" w:rsidRPr="00DD63C9">
        <w:rPr>
          <w:sz w:val="24"/>
          <w:szCs w:val="24"/>
        </w:rPr>
        <w:t xml:space="preserve"> HAPs combined or more than 10 tpy of any individual HAP.</w:t>
      </w:r>
    </w:p>
    <w:p w14:paraId="0AB50B25" w14:textId="77777777" w:rsidR="00615E07" w:rsidRDefault="00615E07" w:rsidP="00104CE2">
      <w:pPr>
        <w:jc w:val="both"/>
        <w:rPr>
          <w:sz w:val="24"/>
          <w:szCs w:val="24"/>
        </w:rPr>
      </w:pPr>
    </w:p>
    <w:p w14:paraId="5E793F30" w14:textId="77777777" w:rsidR="00615E07" w:rsidRDefault="00615E07" w:rsidP="00615E07">
      <w:pPr>
        <w:jc w:val="both"/>
        <w:rPr>
          <w:b/>
          <w:sz w:val="24"/>
          <w:szCs w:val="24"/>
        </w:rPr>
      </w:pPr>
      <w:r w:rsidRPr="001D342F">
        <w:rPr>
          <w:b/>
          <w:sz w:val="24"/>
          <w:szCs w:val="24"/>
        </w:rPr>
        <w:t xml:space="preserve">40 CFR Part 63, Subpart </w:t>
      </w:r>
      <w:r>
        <w:rPr>
          <w:b/>
          <w:sz w:val="24"/>
          <w:szCs w:val="24"/>
        </w:rPr>
        <w:t xml:space="preserve">JJJJJJ – </w:t>
      </w:r>
      <w:r w:rsidRPr="008379B5">
        <w:rPr>
          <w:b/>
          <w:bCs/>
          <w:sz w:val="24"/>
          <w:szCs w:val="24"/>
        </w:rPr>
        <w:t>National Emission Standards for Hazardous Air Pollutants for Industrial, Commercial, and Institutional Boilers Area Sources</w:t>
      </w:r>
    </w:p>
    <w:p w14:paraId="6C7A0FD8" w14:textId="77777777" w:rsidR="00331392" w:rsidRPr="00E65FB7" w:rsidRDefault="00331392" w:rsidP="00615E07">
      <w:pPr>
        <w:jc w:val="both"/>
        <w:rPr>
          <w:b/>
          <w:sz w:val="24"/>
          <w:szCs w:val="24"/>
        </w:rPr>
      </w:pPr>
    </w:p>
    <w:p w14:paraId="21BEB187" w14:textId="77777777" w:rsidR="00615E07" w:rsidRPr="00331392" w:rsidRDefault="00331392" w:rsidP="00615E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EP operates two (2) natural gas-fired package boilers </w:t>
      </w:r>
      <w:r w:rsidRPr="00331392">
        <w:rPr>
          <w:color w:val="000000"/>
          <w:sz w:val="24"/>
          <w:szCs w:val="24"/>
        </w:rPr>
        <w:t>(</w:t>
      </w:r>
      <w:r w:rsidRPr="00331392">
        <w:rPr>
          <w:sz w:val="24"/>
          <w:szCs w:val="24"/>
        </w:rPr>
        <w:t>Emission Points AA-025 and AA-026)</w:t>
      </w:r>
      <w:r w:rsidR="00615E07" w:rsidRPr="00615E0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615E07" w:rsidRPr="00615E07">
        <w:rPr>
          <w:color w:val="000000"/>
          <w:sz w:val="24"/>
          <w:szCs w:val="24"/>
        </w:rPr>
        <w:t xml:space="preserve">Since the boilers are </w:t>
      </w:r>
      <w:r>
        <w:rPr>
          <w:color w:val="000000"/>
          <w:sz w:val="24"/>
          <w:szCs w:val="24"/>
        </w:rPr>
        <w:t xml:space="preserve">only </w:t>
      </w:r>
      <w:r w:rsidR="00615E07" w:rsidRPr="00615E07">
        <w:rPr>
          <w:color w:val="000000"/>
          <w:sz w:val="24"/>
          <w:szCs w:val="24"/>
        </w:rPr>
        <w:t>ca</w:t>
      </w:r>
      <w:r>
        <w:rPr>
          <w:color w:val="000000"/>
          <w:sz w:val="24"/>
          <w:szCs w:val="24"/>
        </w:rPr>
        <w:t>pable of combusting natural gas</w:t>
      </w:r>
      <w:r w:rsidR="00615E07" w:rsidRPr="00615E07">
        <w:rPr>
          <w:color w:val="000000"/>
          <w:sz w:val="24"/>
          <w:szCs w:val="24"/>
        </w:rPr>
        <w:t xml:space="preserve">, the boilers meet the definition of a </w:t>
      </w:r>
      <w:r>
        <w:rPr>
          <w:color w:val="000000"/>
          <w:sz w:val="24"/>
          <w:szCs w:val="24"/>
        </w:rPr>
        <w:t>“</w:t>
      </w:r>
      <w:r w:rsidR="00615E07" w:rsidRPr="00331392">
        <w:rPr>
          <w:i/>
          <w:color w:val="000000"/>
          <w:sz w:val="24"/>
          <w:szCs w:val="24"/>
        </w:rPr>
        <w:t>gas-fired boiler</w:t>
      </w:r>
      <w:r>
        <w:rPr>
          <w:color w:val="000000"/>
          <w:sz w:val="24"/>
          <w:szCs w:val="24"/>
        </w:rPr>
        <w:t xml:space="preserve">” within the subpart.  As such, </w:t>
      </w:r>
      <w:r w:rsidR="00615E07" w:rsidRPr="00615E07">
        <w:rPr>
          <w:color w:val="000000"/>
          <w:sz w:val="24"/>
          <w:szCs w:val="24"/>
        </w:rPr>
        <w:t>these</w:t>
      </w:r>
      <w:r w:rsidR="00615E07">
        <w:rPr>
          <w:sz w:val="24"/>
          <w:szCs w:val="24"/>
        </w:rPr>
        <w:t xml:space="preserve"> units are</w:t>
      </w:r>
      <w:r w:rsidR="00615E07" w:rsidRPr="003812E3">
        <w:rPr>
          <w:sz w:val="24"/>
          <w:szCs w:val="24"/>
        </w:rPr>
        <w:t xml:space="preserve"> </w:t>
      </w:r>
      <w:r w:rsidR="00615E07" w:rsidRPr="00331392">
        <w:rPr>
          <w:b/>
          <w:sz w:val="24"/>
          <w:szCs w:val="24"/>
          <w:u w:val="single"/>
        </w:rPr>
        <w:t>not</w:t>
      </w:r>
      <w:r w:rsidR="00615E07" w:rsidRPr="003812E3">
        <w:rPr>
          <w:sz w:val="24"/>
          <w:szCs w:val="24"/>
        </w:rPr>
        <w:t xml:space="preserve"> subject to any requirements </w:t>
      </w:r>
      <w:r w:rsidR="00615E07">
        <w:rPr>
          <w:sz w:val="24"/>
          <w:szCs w:val="24"/>
        </w:rPr>
        <w:t>found in Subpart</w:t>
      </w:r>
      <w:r w:rsidR="00615E07" w:rsidRPr="003812E3">
        <w:rPr>
          <w:sz w:val="24"/>
          <w:szCs w:val="24"/>
        </w:rPr>
        <w:t xml:space="preserve"> </w:t>
      </w:r>
      <w:r w:rsidR="00615E07">
        <w:rPr>
          <w:sz w:val="24"/>
          <w:szCs w:val="24"/>
        </w:rPr>
        <w:t>JJJJJJ</w:t>
      </w:r>
      <w:r>
        <w:rPr>
          <w:sz w:val="24"/>
          <w:szCs w:val="24"/>
        </w:rPr>
        <w:t xml:space="preserve"> (</w:t>
      </w:r>
      <w:r w:rsidRPr="00615E07">
        <w:rPr>
          <w:color w:val="000000"/>
          <w:sz w:val="24"/>
          <w:szCs w:val="24"/>
        </w:rPr>
        <w:t>the dryers are not affected sources under</w:t>
      </w:r>
      <w:r>
        <w:rPr>
          <w:color w:val="000000"/>
          <w:sz w:val="24"/>
          <w:szCs w:val="24"/>
        </w:rPr>
        <w:t xml:space="preserve"> this subpart)</w:t>
      </w:r>
      <w:r w:rsidR="00615E07">
        <w:rPr>
          <w:sz w:val="24"/>
          <w:szCs w:val="24"/>
        </w:rPr>
        <w:t>.</w:t>
      </w:r>
    </w:p>
    <w:p w14:paraId="2BAD5CCA" w14:textId="77777777" w:rsidR="00DD63C9" w:rsidRDefault="00DD63C9" w:rsidP="00104CE2">
      <w:pPr>
        <w:jc w:val="both"/>
        <w:rPr>
          <w:sz w:val="24"/>
          <w:szCs w:val="24"/>
        </w:rPr>
      </w:pPr>
    </w:p>
    <w:p w14:paraId="34CD7592" w14:textId="77777777" w:rsidR="00AE4F70" w:rsidRDefault="00AE4F70" w:rsidP="00104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SOURCE PERFORMANCE STANDARDS (NSPS) APPLICABILITY</w:t>
      </w:r>
    </w:p>
    <w:p w14:paraId="492420C1" w14:textId="77777777" w:rsidR="00615E07" w:rsidRDefault="00615E07" w:rsidP="00615E07">
      <w:pPr>
        <w:jc w:val="both"/>
        <w:rPr>
          <w:b/>
          <w:sz w:val="24"/>
          <w:szCs w:val="24"/>
        </w:rPr>
      </w:pPr>
    </w:p>
    <w:p w14:paraId="0A09673B" w14:textId="77777777" w:rsidR="00615E07" w:rsidRDefault="00615E07" w:rsidP="00615E07">
      <w:pPr>
        <w:jc w:val="both"/>
        <w:rPr>
          <w:b/>
          <w:sz w:val="24"/>
          <w:szCs w:val="24"/>
        </w:rPr>
      </w:pPr>
      <w:r w:rsidRPr="001D342F">
        <w:rPr>
          <w:b/>
          <w:sz w:val="24"/>
          <w:szCs w:val="24"/>
        </w:rPr>
        <w:t>40 CFR Part 6</w:t>
      </w:r>
      <w:r>
        <w:rPr>
          <w:b/>
          <w:sz w:val="24"/>
          <w:szCs w:val="24"/>
        </w:rPr>
        <w:t>0</w:t>
      </w:r>
      <w:r w:rsidRPr="001D342F">
        <w:rPr>
          <w:b/>
          <w:sz w:val="24"/>
          <w:szCs w:val="24"/>
        </w:rPr>
        <w:t xml:space="preserve">, Subpart </w:t>
      </w:r>
      <w:r>
        <w:rPr>
          <w:b/>
          <w:sz w:val="24"/>
          <w:szCs w:val="24"/>
        </w:rPr>
        <w:t xml:space="preserve">Dc – </w:t>
      </w:r>
      <w:r w:rsidRPr="00923EC6">
        <w:rPr>
          <w:b/>
          <w:bCs/>
          <w:sz w:val="24"/>
          <w:szCs w:val="24"/>
        </w:rPr>
        <w:t>Standards of Performance for Small Industrial-Commercial-Institutional Steam Generating Units</w:t>
      </w:r>
    </w:p>
    <w:p w14:paraId="25C9F11E" w14:textId="77777777" w:rsidR="00615E07" w:rsidRPr="00E65FB7" w:rsidRDefault="00615E07" w:rsidP="00615E07">
      <w:pPr>
        <w:jc w:val="both"/>
        <w:rPr>
          <w:b/>
          <w:sz w:val="24"/>
          <w:szCs w:val="24"/>
        </w:rPr>
      </w:pPr>
    </w:p>
    <w:p w14:paraId="4F33C598" w14:textId="77777777" w:rsidR="00615E07" w:rsidRPr="00102629" w:rsidRDefault="00331392" w:rsidP="00615E07">
      <w:pPr>
        <w:pStyle w:val="BodyText2"/>
        <w:tabs>
          <w:tab w:val="left" w:pos="360"/>
          <w:tab w:val="left" w:pos="5220"/>
        </w:tabs>
      </w:pPr>
      <w:r>
        <w:t>As previously stated, EP</w:t>
      </w:r>
      <w:r w:rsidR="00615E07">
        <w:t xml:space="preserve"> operates two (2) </w:t>
      </w:r>
      <w:r>
        <w:t xml:space="preserve">package </w:t>
      </w:r>
      <w:r w:rsidR="00615E07">
        <w:t xml:space="preserve">boilers [i.e. steam generating units – Emission Points AA-025 and AA-026] that were constructed after the applicable date of June 9, 1989 and each have a respective heat input capacity within the applicable heat input range </w:t>
      </w:r>
      <w:r w:rsidR="008406E7">
        <w:t>(in MMBTU / hour) [i.e. 10</w:t>
      </w:r>
      <w:r w:rsidR="00615E07">
        <w:t xml:space="preserve"> ≤ Heat Input ≤ 100].  Therefore, each boiler is subject to the applicable requirements found in Subpart Dc.  </w:t>
      </w:r>
      <w:r w:rsidR="008406E7">
        <w:t xml:space="preserve">However, </w:t>
      </w:r>
      <w:r w:rsidR="00615E07">
        <w:t>Emission Points AA-025 and AA-026 are only required to monitor and record the volume of fuel combusted in each boiler monthly given that these boilers only utilize natural gas as a fuel source.</w:t>
      </w:r>
    </w:p>
    <w:p w14:paraId="10302CD1" w14:textId="77777777" w:rsidR="00615E07" w:rsidRDefault="00615E07" w:rsidP="00615E07">
      <w:pPr>
        <w:jc w:val="both"/>
        <w:rPr>
          <w:sz w:val="24"/>
          <w:szCs w:val="24"/>
        </w:rPr>
      </w:pPr>
    </w:p>
    <w:p w14:paraId="2334042D" w14:textId="77777777" w:rsidR="00615E07" w:rsidRDefault="00615E07" w:rsidP="00615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D342F">
        <w:rPr>
          <w:b/>
          <w:sz w:val="24"/>
          <w:szCs w:val="24"/>
        </w:rPr>
        <w:t>0 CFR Part 6</w:t>
      </w:r>
      <w:r>
        <w:rPr>
          <w:b/>
          <w:sz w:val="24"/>
          <w:szCs w:val="24"/>
        </w:rPr>
        <w:t>0</w:t>
      </w:r>
      <w:r w:rsidRPr="001D342F">
        <w:rPr>
          <w:b/>
          <w:sz w:val="24"/>
          <w:szCs w:val="24"/>
        </w:rPr>
        <w:t xml:space="preserve">, Subpart </w:t>
      </w:r>
      <w:r>
        <w:rPr>
          <w:b/>
          <w:sz w:val="24"/>
          <w:szCs w:val="24"/>
        </w:rPr>
        <w:t xml:space="preserve">OOO – </w:t>
      </w:r>
      <w:r w:rsidRPr="00DA133D">
        <w:rPr>
          <w:b/>
          <w:bCs/>
          <w:sz w:val="24"/>
          <w:szCs w:val="24"/>
        </w:rPr>
        <w:t>Standards of Performance for Nonmetallic Mineral Processing Plants</w:t>
      </w:r>
    </w:p>
    <w:p w14:paraId="1D90F94F" w14:textId="77777777" w:rsidR="00615E07" w:rsidRDefault="00615E07" w:rsidP="00615E07">
      <w:pPr>
        <w:jc w:val="both"/>
        <w:rPr>
          <w:sz w:val="24"/>
          <w:szCs w:val="24"/>
        </w:rPr>
      </w:pPr>
    </w:p>
    <w:p w14:paraId="5DB8FFB3" w14:textId="2BEFD2B8" w:rsidR="00615E07" w:rsidRDefault="00615E07" w:rsidP="00615E07">
      <w:pPr>
        <w:jc w:val="both"/>
        <w:rPr>
          <w:sz w:val="24"/>
          <w:szCs w:val="24"/>
        </w:rPr>
      </w:pPr>
      <w:r w:rsidRPr="004319CD">
        <w:rPr>
          <w:sz w:val="24"/>
          <w:szCs w:val="24"/>
        </w:rPr>
        <w:t xml:space="preserve">The provisions </w:t>
      </w:r>
      <w:r w:rsidR="008406E7">
        <w:rPr>
          <w:sz w:val="24"/>
          <w:szCs w:val="24"/>
        </w:rPr>
        <w:t>of this subpart</w:t>
      </w:r>
      <w:r w:rsidRPr="006B6ADF" w:rsidDel="006B6ADF">
        <w:rPr>
          <w:sz w:val="24"/>
          <w:szCs w:val="24"/>
        </w:rPr>
        <w:t xml:space="preserve"> </w:t>
      </w:r>
      <w:r>
        <w:rPr>
          <w:sz w:val="24"/>
          <w:szCs w:val="24"/>
        </w:rPr>
        <w:t>are applicable to various equipment</w:t>
      </w:r>
      <w:r w:rsidRPr="006B6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located at </w:t>
      </w:r>
      <w:r w:rsidRPr="006B6ADF">
        <w:rPr>
          <w:sz w:val="24"/>
          <w:szCs w:val="24"/>
        </w:rPr>
        <w:t>fixed or portable nonmet</w:t>
      </w:r>
      <w:r>
        <w:rPr>
          <w:sz w:val="24"/>
          <w:szCs w:val="24"/>
        </w:rPr>
        <w:t>allic mineral processing plants that commenced</w:t>
      </w:r>
      <w:r w:rsidRPr="006B6ADF">
        <w:rPr>
          <w:sz w:val="24"/>
          <w:szCs w:val="24"/>
        </w:rPr>
        <w:t xml:space="preserve"> construction, modification, or recon</w:t>
      </w:r>
      <w:r>
        <w:rPr>
          <w:sz w:val="24"/>
          <w:szCs w:val="24"/>
        </w:rPr>
        <w:t xml:space="preserve">struction after August 31, 1983.  Emission Points </w:t>
      </w:r>
      <w:r w:rsidRPr="00DA133D">
        <w:rPr>
          <w:sz w:val="24"/>
          <w:szCs w:val="24"/>
        </w:rPr>
        <w:t>AA-004g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Silo No. 6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A133D">
        <w:rPr>
          <w:sz w:val="24"/>
          <w:szCs w:val="24"/>
        </w:rPr>
        <w:t>AA-004h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Silo No. 7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 AA-018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Bulk Load-Out No. 2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 AA-021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F-24 Feed Bin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 AA-022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Bulk Load-Out No. 3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 AA-027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Roller Compaction F20X Bin Vent</w:t>
      </w:r>
      <w:r w:rsidR="0062527B">
        <w:rPr>
          <w:sz w:val="24"/>
          <w:szCs w:val="24"/>
        </w:rPr>
        <w:t>)</w:t>
      </w:r>
      <w:r w:rsidRPr="00DA133D">
        <w:rPr>
          <w:sz w:val="24"/>
          <w:szCs w:val="24"/>
        </w:rPr>
        <w:t>, and</w:t>
      </w:r>
      <w:r w:rsidR="0062527B">
        <w:rPr>
          <w:sz w:val="24"/>
          <w:szCs w:val="24"/>
        </w:rPr>
        <w:t xml:space="preserve"> </w:t>
      </w:r>
      <w:r w:rsidRPr="00DA133D">
        <w:rPr>
          <w:sz w:val="24"/>
          <w:szCs w:val="24"/>
        </w:rPr>
        <w:t>AA-028</w:t>
      </w:r>
      <w:r w:rsidR="0062527B">
        <w:rPr>
          <w:sz w:val="24"/>
          <w:szCs w:val="24"/>
        </w:rPr>
        <w:t xml:space="preserve"> (</w:t>
      </w:r>
      <w:r w:rsidR="0062527B" w:rsidRPr="0062527B">
        <w:rPr>
          <w:sz w:val="24"/>
          <w:szCs w:val="24"/>
        </w:rPr>
        <w:t>Reactor Floor Dust Collector</w:t>
      </w:r>
      <w:r w:rsidR="0062527B">
        <w:rPr>
          <w:sz w:val="24"/>
          <w:szCs w:val="24"/>
        </w:rPr>
        <w:t xml:space="preserve">) were installed after the effective date of this </w:t>
      </w:r>
      <w:r>
        <w:rPr>
          <w:sz w:val="24"/>
          <w:szCs w:val="24"/>
        </w:rPr>
        <w:t>subpart</w:t>
      </w:r>
      <w:r w:rsidR="0062527B">
        <w:rPr>
          <w:sz w:val="24"/>
          <w:szCs w:val="24"/>
        </w:rPr>
        <w:t xml:space="preserve">.  Therefore, these mentioned </w:t>
      </w:r>
      <w:r w:rsidR="003134DF">
        <w:rPr>
          <w:sz w:val="24"/>
          <w:szCs w:val="24"/>
        </w:rPr>
        <w:t>s</w:t>
      </w:r>
      <w:r>
        <w:rPr>
          <w:sz w:val="24"/>
          <w:szCs w:val="24"/>
        </w:rPr>
        <w:t xml:space="preserve">ources are subject to the </w:t>
      </w:r>
      <w:r w:rsidR="003134DF">
        <w:rPr>
          <w:sz w:val="24"/>
          <w:szCs w:val="24"/>
        </w:rPr>
        <w:t>following</w:t>
      </w:r>
      <w:r>
        <w:rPr>
          <w:sz w:val="24"/>
          <w:szCs w:val="24"/>
        </w:rPr>
        <w:t xml:space="preserve"> requirements </w:t>
      </w:r>
      <w:r w:rsidR="003134D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3134DF">
        <w:rPr>
          <w:sz w:val="24"/>
          <w:szCs w:val="24"/>
        </w:rPr>
        <w:t>Subpart OOO:</w:t>
      </w:r>
    </w:p>
    <w:p w14:paraId="1D36521E" w14:textId="77777777" w:rsidR="00615E07" w:rsidRDefault="00615E07" w:rsidP="00615E07">
      <w:pPr>
        <w:jc w:val="both"/>
        <w:rPr>
          <w:sz w:val="24"/>
          <w:szCs w:val="24"/>
        </w:rPr>
      </w:pPr>
    </w:p>
    <w:p w14:paraId="47F90571" w14:textId="77777777" w:rsidR="003134DF" w:rsidRDefault="00615E07" w:rsidP="003134DF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Emission Points </w:t>
      </w:r>
      <w:r w:rsidRPr="00DA133D">
        <w:rPr>
          <w:sz w:val="24"/>
          <w:szCs w:val="24"/>
        </w:rPr>
        <w:t>AA-004g,</w:t>
      </w:r>
      <w:r>
        <w:rPr>
          <w:sz w:val="24"/>
          <w:szCs w:val="24"/>
        </w:rPr>
        <w:t xml:space="preserve"> </w:t>
      </w:r>
      <w:r w:rsidRPr="00DA133D">
        <w:rPr>
          <w:sz w:val="24"/>
          <w:szCs w:val="24"/>
        </w:rPr>
        <w:t>AA-004h, AA-018, AA-021, AA-022, AA-027, and</w:t>
      </w:r>
      <w:r>
        <w:rPr>
          <w:sz w:val="24"/>
          <w:szCs w:val="24"/>
        </w:rPr>
        <w:t xml:space="preserve"> </w:t>
      </w:r>
      <w:r w:rsidRPr="00DA133D">
        <w:rPr>
          <w:sz w:val="24"/>
          <w:szCs w:val="24"/>
        </w:rPr>
        <w:t>AA-028</w:t>
      </w:r>
      <w:r w:rsidR="00A210D0">
        <w:rPr>
          <w:sz w:val="24"/>
          <w:szCs w:val="24"/>
        </w:rPr>
        <w:t xml:space="preserve">, are subject to a </w:t>
      </w:r>
      <w:r w:rsidR="003134DF">
        <w:rPr>
          <w:sz w:val="24"/>
          <w:szCs w:val="24"/>
        </w:rPr>
        <w:t xml:space="preserve">7% </w:t>
      </w:r>
      <w:r w:rsidR="0062527B">
        <w:rPr>
          <w:sz w:val="24"/>
          <w:szCs w:val="24"/>
        </w:rPr>
        <w:t xml:space="preserve">opacity limitation </w:t>
      </w:r>
      <w:r w:rsidR="004C05B8">
        <w:rPr>
          <w:sz w:val="24"/>
          <w:szCs w:val="24"/>
        </w:rPr>
        <w:t>at each</w:t>
      </w:r>
      <w:r>
        <w:rPr>
          <w:sz w:val="24"/>
          <w:szCs w:val="24"/>
        </w:rPr>
        <w:t xml:space="preserve"> stack.  </w:t>
      </w:r>
    </w:p>
    <w:p w14:paraId="375290E6" w14:textId="77777777" w:rsidR="004C05B8" w:rsidRDefault="004C05B8" w:rsidP="004C05B8">
      <w:pPr>
        <w:ind w:left="360"/>
        <w:jc w:val="both"/>
        <w:rPr>
          <w:sz w:val="24"/>
          <w:szCs w:val="24"/>
        </w:rPr>
      </w:pPr>
    </w:p>
    <w:p w14:paraId="758DA104" w14:textId="77777777" w:rsidR="004C05B8" w:rsidRDefault="00615E07" w:rsidP="003134DF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Emission Points </w:t>
      </w:r>
      <w:r w:rsidRPr="00DA133D">
        <w:rPr>
          <w:sz w:val="24"/>
          <w:szCs w:val="24"/>
        </w:rPr>
        <w:t>AA-004g,</w:t>
      </w:r>
      <w:r>
        <w:rPr>
          <w:sz w:val="24"/>
          <w:szCs w:val="24"/>
        </w:rPr>
        <w:t xml:space="preserve"> </w:t>
      </w:r>
      <w:r w:rsidRPr="00DA133D">
        <w:rPr>
          <w:sz w:val="24"/>
          <w:szCs w:val="24"/>
        </w:rPr>
        <w:t xml:space="preserve">AA-004h, AA-018, AA-021, </w:t>
      </w:r>
      <w:r>
        <w:rPr>
          <w:sz w:val="24"/>
          <w:szCs w:val="24"/>
        </w:rPr>
        <w:t xml:space="preserve">and </w:t>
      </w:r>
      <w:r w:rsidRPr="00DA133D">
        <w:rPr>
          <w:sz w:val="24"/>
          <w:szCs w:val="24"/>
        </w:rPr>
        <w:t>AA-022</w:t>
      </w:r>
      <w:r>
        <w:rPr>
          <w:sz w:val="24"/>
          <w:szCs w:val="24"/>
        </w:rPr>
        <w:t xml:space="preserve"> are subject to a 10</w:t>
      </w:r>
      <w:r w:rsidRPr="0050379B">
        <w:rPr>
          <w:sz w:val="24"/>
          <w:szCs w:val="24"/>
        </w:rPr>
        <w:t xml:space="preserve">% opacity </w:t>
      </w:r>
      <w:r w:rsidR="003134DF">
        <w:rPr>
          <w:sz w:val="24"/>
          <w:szCs w:val="24"/>
        </w:rPr>
        <w:t>limitation for</w:t>
      </w:r>
      <w:r>
        <w:rPr>
          <w:sz w:val="24"/>
          <w:szCs w:val="24"/>
        </w:rPr>
        <w:t xml:space="preserve"> fugitive emissions and a </w:t>
      </w:r>
      <w:r w:rsidRPr="0050379B">
        <w:rPr>
          <w:sz w:val="24"/>
          <w:szCs w:val="24"/>
        </w:rPr>
        <w:t>PM emission</w:t>
      </w:r>
      <w:r w:rsidR="003134DF">
        <w:rPr>
          <w:sz w:val="24"/>
          <w:szCs w:val="24"/>
        </w:rPr>
        <w:t xml:space="preserve"> limitation</w:t>
      </w:r>
      <w:r>
        <w:rPr>
          <w:sz w:val="24"/>
          <w:szCs w:val="24"/>
        </w:rPr>
        <w:t xml:space="preserve"> of 0.05 grams</w:t>
      </w:r>
      <w:r w:rsidR="003134DF">
        <w:rPr>
          <w:sz w:val="24"/>
          <w:szCs w:val="24"/>
        </w:rPr>
        <w:t xml:space="preserve"> per dry standard cubic meter (dscm)</w:t>
      </w:r>
      <w:r>
        <w:rPr>
          <w:sz w:val="24"/>
          <w:szCs w:val="24"/>
        </w:rPr>
        <w:t xml:space="preserve"> </w:t>
      </w:r>
      <w:r w:rsidR="004C05B8">
        <w:rPr>
          <w:sz w:val="24"/>
          <w:szCs w:val="24"/>
        </w:rPr>
        <w:t>at</w:t>
      </w:r>
      <w:r>
        <w:rPr>
          <w:sz w:val="24"/>
          <w:szCs w:val="24"/>
        </w:rPr>
        <w:t xml:space="preserve"> each stack</w:t>
      </w:r>
      <w:r w:rsidRPr="005037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5671202" w14:textId="77777777" w:rsidR="004C05B8" w:rsidRDefault="004C05B8" w:rsidP="004C05B8">
      <w:pPr>
        <w:ind w:left="360"/>
        <w:jc w:val="both"/>
        <w:rPr>
          <w:sz w:val="24"/>
          <w:szCs w:val="24"/>
        </w:rPr>
      </w:pPr>
    </w:p>
    <w:p w14:paraId="6E2AC4CB" w14:textId="77777777" w:rsidR="00615E07" w:rsidRDefault="00615E07" w:rsidP="003134DF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Emission Points AA-027 and </w:t>
      </w:r>
      <w:r w:rsidRPr="00DA133D">
        <w:rPr>
          <w:sz w:val="24"/>
          <w:szCs w:val="24"/>
        </w:rPr>
        <w:t>AA-02</w:t>
      </w:r>
      <w:r>
        <w:rPr>
          <w:sz w:val="24"/>
          <w:szCs w:val="24"/>
        </w:rPr>
        <w:t xml:space="preserve">8 are subject to a </w:t>
      </w:r>
      <w:r w:rsidRPr="0050379B">
        <w:rPr>
          <w:sz w:val="24"/>
          <w:szCs w:val="24"/>
        </w:rPr>
        <w:t xml:space="preserve">PM emissions </w:t>
      </w:r>
      <w:r w:rsidR="004C05B8">
        <w:rPr>
          <w:sz w:val="24"/>
          <w:szCs w:val="24"/>
        </w:rPr>
        <w:t>limitation</w:t>
      </w:r>
      <w:r w:rsidRPr="0050379B">
        <w:rPr>
          <w:sz w:val="24"/>
          <w:szCs w:val="24"/>
        </w:rPr>
        <w:t xml:space="preserve"> of 0.</w:t>
      </w:r>
      <w:r>
        <w:rPr>
          <w:sz w:val="24"/>
          <w:szCs w:val="24"/>
        </w:rPr>
        <w:t>032 grams</w:t>
      </w:r>
      <w:r w:rsidR="004C05B8">
        <w:rPr>
          <w:sz w:val="24"/>
          <w:szCs w:val="24"/>
        </w:rPr>
        <w:t xml:space="preserve"> per dscm at</w:t>
      </w:r>
      <w:r>
        <w:rPr>
          <w:sz w:val="24"/>
          <w:szCs w:val="24"/>
        </w:rPr>
        <w:t xml:space="preserve"> each stack</w:t>
      </w:r>
      <w:r w:rsidRPr="0050379B">
        <w:rPr>
          <w:sz w:val="24"/>
          <w:szCs w:val="24"/>
        </w:rPr>
        <w:t>.</w:t>
      </w:r>
    </w:p>
    <w:p w14:paraId="79CC996D" w14:textId="77777777" w:rsidR="00615E07" w:rsidRDefault="00615E07" w:rsidP="00615E07">
      <w:pPr>
        <w:jc w:val="both"/>
        <w:rPr>
          <w:sz w:val="24"/>
          <w:szCs w:val="24"/>
        </w:rPr>
      </w:pPr>
    </w:p>
    <w:p w14:paraId="3926EA34" w14:textId="77777777" w:rsidR="00615E07" w:rsidRPr="0050379B" w:rsidRDefault="004C05B8" w:rsidP="00615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Moreover, quarterly </w:t>
      </w:r>
      <w:r w:rsidR="00615E07" w:rsidRPr="00520D70">
        <w:rPr>
          <w:sz w:val="24"/>
          <w:szCs w:val="24"/>
        </w:rPr>
        <w:t>opacity evaluation</w:t>
      </w:r>
      <w:r w:rsidR="00615E0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(in accordance with EPA Test Method 22) </w:t>
      </w:r>
      <w:r w:rsidR="00615E07">
        <w:rPr>
          <w:sz w:val="24"/>
          <w:szCs w:val="24"/>
        </w:rPr>
        <w:t xml:space="preserve">and recordkeeping in a logbook are required to demonstrate compliance with </w:t>
      </w:r>
      <w:r>
        <w:rPr>
          <w:sz w:val="24"/>
          <w:szCs w:val="24"/>
        </w:rPr>
        <w:t xml:space="preserve">applicable </w:t>
      </w:r>
      <w:r w:rsidR="00615E07">
        <w:rPr>
          <w:sz w:val="24"/>
          <w:szCs w:val="24"/>
        </w:rPr>
        <w:t xml:space="preserve">opacity limitations.  Additionally, </w:t>
      </w:r>
      <w:r>
        <w:rPr>
          <w:sz w:val="24"/>
          <w:szCs w:val="24"/>
        </w:rPr>
        <w:t>Subpart</w:t>
      </w:r>
      <w:r w:rsidR="00615E07">
        <w:rPr>
          <w:sz w:val="24"/>
          <w:szCs w:val="24"/>
        </w:rPr>
        <w:t xml:space="preserve"> OOO allows for a</w:t>
      </w:r>
      <w:r w:rsidR="00EB49A8">
        <w:rPr>
          <w:sz w:val="24"/>
          <w:szCs w:val="24"/>
        </w:rPr>
        <w:t>lternative means of compliance.</w:t>
      </w:r>
    </w:p>
    <w:p w14:paraId="24F38D42" w14:textId="77777777" w:rsidR="00615E07" w:rsidRPr="00615E07" w:rsidRDefault="00615E07" w:rsidP="00615E07">
      <w:pPr>
        <w:jc w:val="both"/>
        <w:rPr>
          <w:color w:val="000000"/>
          <w:sz w:val="24"/>
          <w:szCs w:val="24"/>
        </w:rPr>
      </w:pPr>
    </w:p>
    <w:p w14:paraId="2E7ED194" w14:textId="77777777" w:rsidR="00615E07" w:rsidRDefault="00615E07" w:rsidP="00615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D342F">
        <w:rPr>
          <w:b/>
          <w:sz w:val="24"/>
          <w:szCs w:val="24"/>
        </w:rPr>
        <w:t>0 CFR Part 6</w:t>
      </w:r>
      <w:r>
        <w:rPr>
          <w:b/>
          <w:sz w:val="24"/>
          <w:szCs w:val="24"/>
        </w:rPr>
        <w:t>0</w:t>
      </w:r>
      <w:r w:rsidRPr="001D342F">
        <w:rPr>
          <w:b/>
          <w:sz w:val="24"/>
          <w:szCs w:val="24"/>
        </w:rPr>
        <w:t xml:space="preserve">, Subpart </w:t>
      </w:r>
      <w:r>
        <w:rPr>
          <w:b/>
          <w:sz w:val="24"/>
          <w:szCs w:val="24"/>
        </w:rPr>
        <w:t xml:space="preserve">UUU – </w:t>
      </w:r>
      <w:bookmarkStart w:id="0" w:name="_GoBack"/>
      <w:r w:rsidRPr="000E2D1E">
        <w:rPr>
          <w:b/>
          <w:bCs/>
          <w:sz w:val="24"/>
          <w:szCs w:val="24"/>
        </w:rPr>
        <w:t>Standards of Performance for Calciners and Dryers in Mineral Industries</w:t>
      </w:r>
      <w:bookmarkEnd w:id="0"/>
    </w:p>
    <w:p w14:paraId="523AE1DF" w14:textId="77777777" w:rsidR="00615E07" w:rsidRDefault="00615E07" w:rsidP="00615E07">
      <w:pPr>
        <w:jc w:val="both"/>
        <w:rPr>
          <w:sz w:val="24"/>
          <w:szCs w:val="24"/>
        </w:rPr>
      </w:pPr>
    </w:p>
    <w:p w14:paraId="37F81050" w14:textId="77777777" w:rsidR="00615E07" w:rsidRDefault="00615E07" w:rsidP="00615E07">
      <w:pPr>
        <w:jc w:val="both"/>
        <w:rPr>
          <w:sz w:val="24"/>
          <w:szCs w:val="24"/>
        </w:rPr>
      </w:pPr>
      <w:r w:rsidRPr="004319CD">
        <w:rPr>
          <w:sz w:val="24"/>
          <w:szCs w:val="24"/>
        </w:rPr>
        <w:t xml:space="preserve">The provisions </w:t>
      </w:r>
      <w:r w:rsidR="00EB49A8">
        <w:rPr>
          <w:sz w:val="24"/>
          <w:szCs w:val="24"/>
        </w:rPr>
        <w:t>of this subpart</w:t>
      </w:r>
      <w:r w:rsidRPr="006B6ADF" w:rsidDel="006B6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applicable to </w:t>
      </w:r>
      <w:r w:rsidRPr="000E2D1E">
        <w:rPr>
          <w:sz w:val="24"/>
          <w:szCs w:val="24"/>
        </w:rPr>
        <w:t>each calciner and dryer</w:t>
      </w:r>
      <w:r w:rsidR="00EB49A8">
        <w:rPr>
          <w:sz w:val="24"/>
          <w:szCs w:val="24"/>
        </w:rPr>
        <w:t xml:space="preserve"> at a mineral processing plant (f</w:t>
      </w:r>
      <w:r w:rsidRPr="000E2D1E">
        <w:rPr>
          <w:sz w:val="24"/>
          <w:szCs w:val="24"/>
        </w:rPr>
        <w:t>eed and product conveyors are not consider</w:t>
      </w:r>
      <w:r w:rsidR="00EB49A8">
        <w:rPr>
          <w:sz w:val="24"/>
          <w:szCs w:val="24"/>
        </w:rPr>
        <w:t>ed affected sources)</w:t>
      </w:r>
      <w:r w:rsidRPr="000E2D1E">
        <w:rPr>
          <w:sz w:val="24"/>
          <w:szCs w:val="24"/>
        </w:rPr>
        <w:t>.</w:t>
      </w:r>
      <w:r w:rsidR="00EB49A8">
        <w:rPr>
          <w:sz w:val="24"/>
          <w:szCs w:val="24"/>
        </w:rPr>
        <w:t xml:space="preserve"> </w:t>
      </w:r>
      <w:r w:rsidRPr="000E2D1E">
        <w:rPr>
          <w:sz w:val="24"/>
          <w:szCs w:val="24"/>
        </w:rPr>
        <w:t xml:space="preserve"> For the brick and related clay products industry, only the calcining and drying of raw materials prior to </w:t>
      </w:r>
      <w:r>
        <w:rPr>
          <w:sz w:val="24"/>
          <w:szCs w:val="24"/>
        </w:rPr>
        <w:t>firing of the brick are covered that commenced</w:t>
      </w:r>
      <w:r w:rsidRPr="006B6ADF">
        <w:rPr>
          <w:sz w:val="24"/>
          <w:szCs w:val="24"/>
        </w:rPr>
        <w:t xml:space="preserve"> construction, modification, or recon</w:t>
      </w:r>
      <w:r>
        <w:rPr>
          <w:sz w:val="24"/>
          <w:szCs w:val="24"/>
        </w:rPr>
        <w:t xml:space="preserve">struction after </w:t>
      </w:r>
      <w:r w:rsidRPr="000E2D1E">
        <w:rPr>
          <w:sz w:val="24"/>
          <w:szCs w:val="24"/>
        </w:rPr>
        <w:t>April 23, 1986</w:t>
      </w:r>
      <w:r>
        <w:rPr>
          <w:sz w:val="24"/>
          <w:szCs w:val="24"/>
        </w:rPr>
        <w:t xml:space="preserve">. </w:t>
      </w:r>
    </w:p>
    <w:p w14:paraId="4296A0E8" w14:textId="77777777" w:rsidR="00615E07" w:rsidRDefault="00615E07" w:rsidP="00615E07">
      <w:pPr>
        <w:jc w:val="both"/>
        <w:rPr>
          <w:sz w:val="24"/>
          <w:szCs w:val="24"/>
        </w:rPr>
      </w:pPr>
    </w:p>
    <w:p w14:paraId="27A7C7F0" w14:textId="1B4FC445" w:rsidR="00615E07" w:rsidRDefault="00615E07" w:rsidP="00615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Emission Point AA-029 </w:t>
      </w:r>
      <w:r w:rsidR="00FA560E">
        <w:rPr>
          <w:sz w:val="24"/>
          <w:szCs w:val="24"/>
        </w:rPr>
        <w:t>(</w:t>
      </w:r>
      <w:r w:rsidR="00FA560E" w:rsidRPr="00FA560E">
        <w:rPr>
          <w:sz w:val="24"/>
          <w:szCs w:val="24"/>
        </w:rPr>
        <w:t>4.0 MMBTU / Hour Natural-Gas Fired Roller Compactor Fluid Bed Dryer</w:t>
      </w:r>
      <w:r w:rsidR="00FA560E">
        <w:rPr>
          <w:sz w:val="24"/>
          <w:szCs w:val="24"/>
        </w:rPr>
        <w:t xml:space="preserve">) was installed after the effective date of this </w:t>
      </w:r>
      <w:r>
        <w:rPr>
          <w:sz w:val="24"/>
          <w:szCs w:val="24"/>
        </w:rPr>
        <w:t>subpart</w:t>
      </w:r>
      <w:r w:rsidR="00FA560E">
        <w:rPr>
          <w:sz w:val="24"/>
          <w:szCs w:val="24"/>
        </w:rPr>
        <w:t>.  T</w:t>
      </w:r>
      <w:r>
        <w:rPr>
          <w:sz w:val="24"/>
          <w:szCs w:val="24"/>
        </w:rPr>
        <w:t>herefore, this source is subject to the applicable requirements of Subpart UUU.  Emission Point AA-029 is subject to a 10</w:t>
      </w:r>
      <w:r w:rsidRPr="0050379B">
        <w:rPr>
          <w:sz w:val="24"/>
          <w:szCs w:val="24"/>
        </w:rPr>
        <w:t xml:space="preserve">% opacity </w:t>
      </w:r>
      <w:r w:rsidR="00FA560E">
        <w:rPr>
          <w:sz w:val="24"/>
          <w:szCs w:val="24"/>
        </w:rPr>
        <w:t xml:space="preserve">limitation </w:t>
      </w:r>
      <w:r>
        <w:rPr>
          <w:sz w:val="24"/>
          <w:szCs w:val="24"/>
        </w:rPr>
        <w:t xml:space="preserve">from fugitive emissions and a </w:t>
      </w:r>
      <w:r w:rsidRPr="0050379B">
        <w:rPr>
          <w:sz w:val="24"/>
          <w:szCs w:val="24"/>
        </w:rPr>
        <w:t xml:space="preserve">PM emissions </w:t>
      </w:r>
      <w:r>
        <w:rPr>
          <w:sz w:val="24"/>
          <w:szCs w:val="24"/>
        </w:rPr>
        <w:t xml:space="preserve">restriction of 0.057 </w:t>
      </w:r>
      <w:r w:rsidR="00FA560E" w:rsidRPr="00FA560E">
        <w:rPr>
          <w:sz w:val="24"/>
          <w:szCs w:val="24"/>
        </w:rPr>
        <w:t>grams per dscm</w:t>
      </w:r>
      <w:r w:rsidRPr="005037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B7E5B">
        <w:rPr>
          <w:sz w:val="24"/>
          <w:szCs w:val="24"/>
        </w:rPr>
        <w:t>However, s</w:t>
      </w:r>
      <w:r>
        <w:rPr>
          <w:sz w:val="24"/>
          <w:szCs w:val="24"/>
        </w:rPr>
        <w:t>ince the fluid bed dryer does not meet the definition of any of the sources described in 40 CFR 60.734(b)</w:t>
      </w:r>
      <w:r w:rsidR="00FA560E">
        <w:rPr>
          <w:sz w:val="24"/>
          <w:szCs w:val="24"/>
        </w:rPr>
        <w:t xml:space="preserve"> – (</w:t>
      </w:r>
      <w:r>
        <w:rPr>
          <w:sz w:val="24"/>
          <w:szCs w:val="24"/>
        </w:rPr>
        <w:t>d), the fluid bed dryer would be subject to the c</w:t>
      </w:r>
      <w:r w:rsidRPr="000D767A">
        <w:rPr>
          <w:sz w:val="24"/>
          <w:szCs w:val="24"/>
        </w:rPr>
        <w:t xml:space="preserve">ontinuous monitoring system </w:t>
      </w:r>
      <w:r>
        <w:rPr>
          <w:sz w:val="24"/>
          <w:szCs w:val="24"/>
        </w:rPr>
        <w:t xml:space="preserve">requirements </w:t>
      </w:r>
      <w:r w:rsidRPr="000D767A">
        <w:rPr>
          <w:sz w:val="24"/>
          <w:szCs w:val="24"/>
        </w:rPr>
        <w:t xml:space="preserve">to measure and record opacity </w:t>
      </w:r>
      <w:r w:rsidR="00FA560E">
        <w:rPr>
          <w:sz w:val="24"/>
          <w:szCs w:val="24"/>
        </w:rPr>
        <w:t>pursuant to</w:t>
      </w:r>
      <w:r>
        <w:rPr>
          <w:sz w:val="24"/>
          <w:szCs w:val="24"/>
        </w:rPr>
        <w:t xml:space="preserve"> 40 CFR 60.734(a).  However, according to the </w:t>
      </w:r>
      <w:r w:rsidRPr="00AE00C1">
        <w:rPr>
          <w:sz w:val="24"/>
          <w:szCs w:val="24"/>
        </w:rPr>
        <w:t>U.S. Environmental Protection Agency Applicability Determination Index</w:t>
      </w:r>
      <w:r>
        <w:rPr>
          <w:sz w:val="24"/>
          <w:szCs w:val="24"/>
        </w:rPr>
        <w:t xml:space="preserve"> </w:t>
      </w:r>
      <w:r w:rsidRPr="00AE00C1">
        <w:rPr>
          <w:sz w:val="24"/>
          <w:szCs w:val="24"/>
        </w:rPr>
        <w:t>Control Number: 0600020</w:t>
      </w:r>
      <w:r>
        <w:rPr>
          <w:sz w:val="24"/>
          <w:szCs w:val="24"/>
        </w:rPr>
        <w:t xml:space="preserve">, since the source has a </w:t>
      </w:r>
      <w:r w:rsidR="00927F12">
        <w:rPr>
          <w:sz w:val="24"/>
          <w:szCs w:val="24"/>
        </w:rPr>
        <w:t>potential-to-emit particulate matter (PM)</w:t>
      </w:r>
      <w:r>
        <w:rPr>
          <w:sz w:val="24"/>
          <w:szCs w:val="24"/>
        </w:rPr>
        <w:t xml:space="preserve"> &lt; 11 tpy, the source is exempt from the opacity c</w:t>
      </w:r>
      <w:r w:rsidRPr="000D767A">
        <w:rPr>
          <w:sz w:val="24"/>
          <w:szCs w:val="24"/>
        </w:rPr>
        <w:t xml:space="preserve">ontinuous monitoring system </w:t>
      </w:r>
      <w:r>
        <w:rPr>
          <w:sz w:val="24"/>
          <w:szCs w:val="24"/>
        </w:rPr>
        <w:t>requirements.</w:t>
      </w:r>
    </w:p>
    <w:p w14:paraId="6AAE0BFD" w14:textId="77777777" w:rsidR="00615E07" w:rsidRDefault="00615E07" w:rsidP="00615E07">
      <w:pPr>
        <w:jc w:val="both"/>
        <w:rPr>
          <w:sz w:val="24"/>
          <w:szCs w:val="24"/>
        </w:rPr>
      </w:pPr>
    </w:p>
    <w:p w14:paraId="320EE5E4" w14:textId="77777777" w:rsidR="00615E07" w:rsidRPr="0050379B" w:rsidRDefault="00615E07" w:rsidP="00615E07">
      <w:pPr>
        <w:jc w:val="both"/>
        <w:rPr>
          <w:sz w:val="24"/>
          <w:szCs w:val="24"/>
        </w:rPr>
      </w:pPr>
      <w:r>
        <w:rPr>
          <w:sz w:val="24"/>
          <w:szCs w:val="24"/>
        </w:rPr>
        <w:t>In lieu of the opacity c</w:t>
      </w:r>
      <w:r w:rsidRPr="000D767A">
        <w:rPr>
          <w:sz w:val="24"/>
          <w:szCs w:val="24"/>
        </w:rPr>
        <w:t xml:space="preserve">ontinuous monitoring system </w:t>
      </w:r>
      <w:r>
        <w:rPr>
          <w:sz w:val="24"/>
          <w:szCs w:val="24"/>
        </w:rPr>
        <w:t xml:space="preserve">requirements, </w:t>
      </w:r>
      <w:r w:rsidR="002412C2" w:rsidRPr="002412C2">
        <w:rPr>
          <w:sz w:val="24"/>
          <w:szCs w:val="24"/>
        </w:rPr>
        <w:t>quarterly opacity evaluations (in accordance with EPA Test Method 22)</w:t>
      </w:r>
      <w:r>
        <w:rPr>
          <w:sz w:val="24"/>
          <w:szCs w:val="24"/>
        </w:rPr>
        <w:t xml:space="preserve"> and recordkeeping have been included for Emission Point AA-029.</w:t>
      </w:r>
    </w:p>
    <w:p w14:paraId="009634C6" w14:textId="77777777" w:rsidR="00AB6090" w:rsidRDefault="00AB6090" w:rsidP="00104CE2">
      <w:pPr>
        <w:jc w:val="both"/>
        <w:rPr>
          <w:sz w:val="24"/>
          <w:szCs w:val="24"/>
          <w:u w:val="single"/>
        </w:rPr>
      </w:pPr>
    </w:p>
    <w:p w14:paraId="1D733459" w14:textId="77777777" w:rsidR="00531513" w:rsidRDefault="008406E7" w:rsidP="00104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531513">
        <w:rPr>
          <w:sz w:val="24"/>
          <w:szCs w:val="24"/>
          <w:u w:val="single"/>
        </w:rPr>
        <w:t>SPECIFIC APPLICABLE REQUIREMENTS</w:t>
      </w:r>
    </w:p>
    <w:p w14:paraId="67ABF872" w14:textId="77777777" w:rsidR="00531513" w:rsidRDefault="00531513" w:rsidP="00531513">
      <w:pPr>
        <w:rPr>
          <w:sz w:val="24"/>
          <w:szCs w:val="24"/>
        </w:rPr>
      </w:pPr>
    </w:p>
    <w:tbl>
      <w:tblPr>
        <w:tblW w:w="96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5"/>
        <w:gridCol w:w="1440"/>
        <w:gridCol w:w="2430"/>
        <w:gridCol w:w="4672"/>
      </w:tblGrid>
      <w:tr w:rsidR="00615E07" w14:paraId="2C613966" w14:textId="77777777" w:rsidTr="00CD0B95">
        <w:trPr>
          <w:trHeight w:val="602"/>
          <w:tblHeader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B672902" w14:textId="77777777" w:rsidR="00615E07" w:rsidRPr="00927F12" w:rsidRDefault="00615E07" w:rsidP="00C03199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Emission Point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F9D0FFC" w14:textId="77777777" w:rsidR="00615E07" w:rsidRPr="00927F12" w:rsidRDefault="00615E07" w:rsidP="00C03199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Pollutant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77B23B7" w14:textId="77777777" w:rsidR="00615E07" w:rsidRPr="00927F12" w:rsidRDefault="00615E07" w:rsidP="00C03199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Draft Permit Emission Limits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A161646" w14:textId="77777777" w:rsidR="00615E07" w:rsidRPr="00927F12" w:rsidRDefault="00615E07" w:rsidP="00C03199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Monitoring Requirements</w:t>
            </w:r>
          </w:p>
        </w:tc>
      </w:tr>
      <w:tr w:rsidR="00615E07" w14:paraId="343052C3" w14:textId="77777777" w:rsidTr="00CD0B95">
        <w:trPr>
          <w:trHeight w:val="3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9D9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AA-003</w:t>
            </w:r>
          </w:p>
          <w:p w14:paraId="435D91B9" w14:textId="77777777" w:rsidR="00615E07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through AA-013</w:t>
            </w:r>
          </w:p>
          <w:p w14:paraId="77AC4284" w14:textId="77777777" w:rsidR="00CD0B95" w:rsidRPr="00CD0B95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rPr>
                <w:sz w:val="10"/>
                <w:szCs w:val="10"/>
              </w:rPr>
            </w:pPr>
          </w:p>
          <w:p w14:paraId="2680B9C4" w14:textId="77777777" w:rsidR="00615E07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AA-016 through AA-018</w:t>
            </w:r>
          </w:p>
          <w:p w14:paraId="336358C3" w14:textId="77777777" w:rsidR="00CD0B95" w:rsidRP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sz w:val="10"/>
                <w:szCs w:val="10"/>
              </w:rPr>
            </w:pPr>
          </w:p>
          <w:p w14:paraId="05511266" w14:textId="77777777" w:rsidR="00615E07" w:rsidRPr="00214A69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AA-021</w:t>
            </w:r>
          </w:p>
          <w:p w14:paraId="123B9991" w14:textId="77777777" w:rsidR="00615E07" w:rsidRPr="00214A69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AA-022</w:t>
            </w:r>
          </w:p>
          <w:p w14:paraId="137F003B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AA-027</w:t>
            </w:r>
            <w:r w:rsidRPr="00214A69">
              <w:t xml:space="preserve"> through</w:t>
            </w:r>
          </w:p>
          <w:p w14:paraId="0A38A5E3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AFC2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8B74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E = 4.1*(p)</w:t>
            </w:r>
            <w:r w:rsidRPr="00214A69">
              <w:rPr>
                <w:vertAlign w:val="superscript"/>
              </w:rPr>
              <w:t>0.67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C326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Daily Baghouse Pressure Drop Monitoring Requirements, Weekly Inspection and Maintenance Requirements, and Biennial Performance Stack Testing</w:t>
            </w:r>
          </w:p>
        </w:tc>
      </w:tr>
      <w:tr w:rsidR="00615E07" w14:paraId="306F0942" w14:textId="77777777" w:rsidTr="00CD0B95">
        <w:trPr>
          <w:trHeight w:val="14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C108" w14:textId="77777777" w:rsidR="00CD0B95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AA-009 through AA-013</w:t>
            </w:r>
          </w:p>
          <w:p w14:paraId="0871209C" w14:textId="77777777" w:rsidR="00CD0B95" w:rsidRPr="00CD0B95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sz w:val="10"/>
                <w:szCs w:val="10"/>
              </w:rPr>
            </w:pPr>
          </w:p>
          <w:p w14:paraId="76FCA5D5" w14:textId="77777777" w:rsidR="00CD0B95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AA-025</w:t>
            </w:r>
          </w:p>
          <w:p w14:paraId="5572E02D" w14:textId="77777777" w:rsidR="00615E07" w:rsidRPr="00214A69" w:rsidRDefault="00615E07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F0BAB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F797C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E = 0.8808*(I)</w:t>
            </w:r>
            <w:r w:rsidRPr="00214A69">
              <w:rPr>
                <w:vertAlign w:val="superscript"/>
              </w:rPr>
              <w:t>-0.1667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246623" w14:textId="77777777" w:rsidR="00615E07" w:rsidRPr="00520D70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Fuel Monitoring Requirements</w:t>
            </w:r>
          </w:p>
        </w:tc>
      </w:tr>
      <w:tr w:rsidR="00615E07" w14:paraId="6915AFB8" w14:textId="77777777" w:rsidTr="00CD0B95">
        <w:trPr>
          <w:trHeight w:val="6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9D3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AA-025</w:t>
            </w:r>
            <w:r w:rsidRPr="00214A69">
              <w:t xml:space="preserve"> </w:t>
            </w:r>
          </w:p>
          <w:p w14:paraId="08F6ED1F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36D19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SO</w:t>
            </w:r>
            <w:r w:rsidRPr="00214A69">
              <w:rPr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CF95A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4.8 lbs/MMBTU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E6BE0D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</w:p>
        </w:tc>
      </w:tr>
      <w:tr w:rsidR="00615E07" w14:paraId="4FE8A32C" w14:textId="77777777" w:rsidTr="00C03199">
        <w:trPr>
          <w:trHeight w:val="8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C21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F4EFC9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SO</w:t>
            </w:r>
            <w:r w:rsidRPr="00214A69">
              <w:rPr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FA26D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0.6 lbs/MMBTU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6FDF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2B33A32E" w14:textId="77777777" w:rsidTr="00CD0B95">
        <w:trPr>
          <w:trHeight w:val="156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7A9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AA-009</w:t>
            </w:r>
          </w:p>
          <w:p w14:paraId="713AAA2E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through</w:t>
            </w:r>
          </w:p>
          <w:p w14:paraId="729F941A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AA-013</w:t>
            </w:r>
          </w:p>
          <w:p w14:paraId="6F01B123" w14:textId="77777777" w:rsidR="00615E07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AA-025</w:t>
            </w:r>
          </w:p>
          <w:p w14:paraId="2EF58A1F" w14:textId="77777777" w:rsidR="00615E07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AA-026</w:t>
            </w:r>
          </w:p>
          <w:p w14:paraId="1CC08B39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AA-02</w:t>
            </w: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9E2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Fuel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C187438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Combust natural gas only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2F35E7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  <w:r>
              <w:t>Fuel Monitoring Requirements</w:t>
            </w:r>
          </w:p>
        </w:tc>
      </w:tr>
      <w:tr w:rsidR="00615E07" w14:paraId="29039D72" w14:textId="77777777" w:rsidTr="00C03199">
        <w:trPr>
          <w:trHeight w:val="14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164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6B0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32D11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FA44A5">
              <w:t xml:space="preserve">0.57 lbs/hr and 2.48 </w:t>
            </w:r>
            <w:r>
              <w:t>tpy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34C8AE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  <w:r>
              <w:t>Daily Baghouse Pressure Drop Monitoring Requirements, Weekly Inspection and Maintenance Requirements, and Biennial Performance Stack Testing</w:t>
            </w:r>
          </w:p>
        </w:tc>
      </w:tr>
      <w:tr w:rsidR="00615E07" w14:paraId="449611DC" w14:textId="77777777" w:rsidTr="00C03199">
        <w:trPr>
          <w:trHeight w:val="12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6EA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004a</w:t>
            </w:r>
          </w:p>
          <w:p w14:paraId="633080D5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through</w:t>
            </w:r>
          </w:p>
          <w:p w14:paraId="56CB639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2A3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B5C390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FA44A5">
              <w:t>0.</w:t>
            </w:r>
            <w:r>
              <w:t>16 lbs/hr and 0.68 tpy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B1C37D1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  <w:r>
              <w:t>Weekly Inspection and Maintenance Requirements and Biennial Performance Stack Testing</w:t>
            </w:r>
          </w:p>
        </w:tc>
      </w:tr>
      <w:tr w:rsidR="00615E07" w14:paraId="482261F0" w14:textId="77777777" w:rsidTr="00CD0B95">
        <w:trPr>
          <w:trHeight w:val="8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2F5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004g</w:t>
            </w:r>
          </w:p>
          <w:p w14:paraId="1BD64946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5B4DC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B818C3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0.05 g/dscm</w:t>
            </w:r>
          </w:p>
          <w:p w14:paraId="569ADD8F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FA44A5">
              <w:t>0.</w:t>
            </w:r>
            <w:r>
              <w:t>034 lbs/hr and 0.15 tpy (combined total)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32A64C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</w:tbl>
    <w:p w14:paraId="6A141418" w14:textId="77777777" w:rsidR="00CD0B95" w:rsidRDefault="00CD0B95"/>
    <w:tbl>
      <w:tblPr>
        <w:tblW w:w="96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5"/>
        <w:gridCol w:w="1440"/>
        <w:gridCol w:w="2430"/>
        <w:gridCol w:w="4672"/>
      </w:tblGrid>
      <w:tr w:rsidR="00CD0B95" w14:paraId="045A20C9" w14:textId="77777777" w:rsidTr="00CD0B95">
        <w:trPr>
          <w:trHeight w:val="66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F53C9BE" w14:textId="77777777" w:rsidR="00CD0B95" w:rsidRPr="00927F12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Emission Point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C6F3C83" w14:textId="77777777" w:rsidR="00CD0B95" w:rsidRPr="00927F12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Pollutant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2715A2A" w14:textId="77777777" w:rsidR="00CD0B95" w:rsidRPr="00927F12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Draft Permit Emission Limits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19CB860" w14:textId="77777777" w:rsidR="00CD0B95" w:rsidRPr="00927F12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Monitoring Requirements</w:t>
            </w:r>
          </w:p>
        </w:tc>
      </w:tr>
      <w:tr w:rsidR="00615E07" w14:paraId="128BE0A5" w14:textId="77777777" w:rsidTr="00CD0B95">
        <w:trPr>
          <w:trHeight w:val="5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456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FC41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30841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FA44A5">
              <w:t>0.</w:t>
            </w:r>
            <w:r>
              <w:t>77 lbs/hr and 3.38 tpy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4079C2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  <w:r>
              <w:t>Daily Baghouse Pressure Drop Monitoring Requirements, Weekly Inspection and Maintenance Requirements, and Biennial Performance Stack Testing</w:t>
            </w:r>
          </w:p>
        </w:tc>
      </w:tr>
      <w:tr w:rsidR="00615E07" w14:paraId="6CCB8EB4" w14:textId="77777777" w:rsidTr="00CD0B95">
        <w:trPr>
          <w:trHeight w:val="5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D344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8974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185B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1.90 lbs/hr and 8.33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274695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0B8D8771" w14:textId="77777777" w:rsidTr="00CD0B95">
        <w:trPr>
          <w:trHeight w:val="5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1A8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0E406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8736C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1.21 lbs/hr and 2.60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60EDB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7156218A" w14:textId="77777777" w:rsidTr="00CD0B95">
        <w:trPr>
          <w:trHeight w:val="5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F7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7E08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B36C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2.06 lbs/hr and 9.01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D1311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13CEEDCB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C94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009</w:t>
            </w:r>
          </w:p>
          <w:p w14:paraId="25F08D8B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2D4AE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E01F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7.85 lbs/hr and 34.4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83AE9F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0DFF572A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B08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011</w:t>
            </w:r>
          </w:p>
          <w:p w14:paraId="089C33EC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0992F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7F9C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4.84 lbs/hr and 21.2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094DEC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36EA79EA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A679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23CFC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5EE6" w14:textId="77777777" w:rsidR="00615E07" w:rsidRPr="00FA44A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16.97 lbs/hr and 74.3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A75EB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1DFDCE4B" w14:textId="77777777" w:rsidTr="00CD0B95">
        <w:trPr>
          <w:trHeight w:val="5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C625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65D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A2C1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1.54 lbs/hr and 6.76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DAD4A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568F8291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7FE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BF76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4D094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1.29 lbs/hr and 5.63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A2BF3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69AB92A7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4BC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04E5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E7B71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0.05 g/dscm</w:t>
            </w:r>
          </w:p>
          <w:p w14:paraId="34E26503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0.25 lbs/hr and 1.07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49E38D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0835D54B" w14:textId="77777777" w:rsidTr="00CD0B95">
        <w:trPr>
          <w:trHeight w:val="5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96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999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C120D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0.05 g/dscm</w:t>
            </w:r>
          </w:p>
          <w:p w14:paraId="741D336B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0.07 lbs/hr and 0.30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A80A4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167B75F6" w14:textId="77777777" w:rsidTr="00CD0B95">
        <w:trPr>
          <w:trHeight w:val="5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D3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C418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A9567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0.05 g/dscm</w:t>
            </w:r>
          </w:p>
          <w:p w14:paraId="1B724B3D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0.57 lbs/hr and 2.48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D2D31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435DA7A2" w14:textId="77777777" w:rsidTr="00CD0B95">
        <w:trPr>
          <w:trHeight w:val="7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92AF2" w14:textId="77777777" w:rsidR="00615E07" w:rsidRDefault="00615E07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025</w:t>
            </w:r>
          </w:p>
          <w:p w14:paraId="72A151D0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98D7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48C0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0.37 lbs/hr and 1.64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9CA8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684D690E" w14:textId="77777777" w:rsidTr="00CD0B95">
        <w:trPr>
          <w:trHeight w:val="6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A14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955E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5F39D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0.032 g/dscm</w:t>
            </w:r>
          </w:p>
          <w:p w14:paraId="23EFBE48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0.065 lbs/hr and 0.284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638761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35615E42" w14:textId="77777777" w:rsidTr="00CD0B95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F99" w14:textId="77777777" w:rsidR="00615E07" w:rsidRPr="00214A69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214A69">
              <w:t>AA-</w:t>
            </w:r>
            <w:r>
              <w:t>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07E8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3048F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0.032 g/dscm</w:t>
            </w:r>
          </w:p>
          <w:p w14:paraId="5F429B0B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0.588 lbs/hr and 2.58 tpy</w:t>
            </w:r>
          </w:p>
        </w:tc>
        <w:tc>
          <w:tcPr>
            <w:tcW w:w="4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DE93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</w:p>
        </w:tc>
      </w:tr>
      <w:tr w:rsidR="00615E07" w14:paraId="5B91645C" w14:textId="77777777" w:rsidTr="007A1526">
        <w:trPr>
          <w:trHeight w:val="169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9CDEF" w14:textId="77777777" w:rsidR="00615E07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AA-004g</w:t>
            </w:r>
          </w:p>
          <w:p w14:paraId="3D0E405C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AA-004h</w:t>
            </w:r>
          </w:p>
          <w:p w14:paraId="66C7F10C" w14:textId="77777777" w:rsidR="00CD0B95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861D2C">
              <w:t>AA-0</w:t>
            </w:r>
            <w:r w:rsidR="00CD0B95">
              <w:t>18</w:t>
            </w:r>
          </w:p>
          <w:p w14:paraId="1F773B38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AA-021</w:t>
            </w:r>
          </w:p>
          <w:p w14:paraId="3C278F5D" w14:textId="77777777" w:rsidR="00CD0B95" w:rsidRDefault="00CD0B95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AA-022</w:t>
            </w:r>
          </w:p>
          <w:p w14:paraId="54B3A938" w14:textId="77777777" w:rsidR="00615E07" w:rsidRDefault="00CD0B95" w:rsidP="00CD0B95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AA-027</w:t>
            </w:r>
          </w:p>
          <w:p w14:paraId="0B6F994C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861D2C">
              <w:t>AA-028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A4D1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Opacity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C636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7% (stack emissions)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BC8C1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</w:pPr>
            <w:r>
              <w:t>Biennial Method 9 Visible Emission Evaluations</w:t>
            </w:r>
          </w:p>
        </w:tc>
      </w:tr>
      <w:tr w:rsidR="00615E07" w14:paraId="4F14681E" w14:textId="77777777" w:rsidTr="007A1526">
        <w:trPr>
          <w:trHeight w:val="12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C40BDD" w14:textId="77777777" w:rsidR="00615E07" w:rsidRDefault="007A1526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AA-004g</w:t>
            </w:r>
          </w:p>
          <w:p w14:paraId="43081372" w14:textId="77777777" w:rsidR="007A1526" w:rsidRDefault="007A1526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AA-004h</w:t>
            </w:r>
          </w:p>
          <w:p w14:paraId="27DEE77D" w14:textId="77777777" w:rsidR="007A1526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 w:rsidRPr="00861D2C">
              <w:t>AA-0</w:t>
            </w:r>
            <w:r w:rsidR="007A1526">
              <w:t>18</w:t>
            </w:r>
          </w:p>
          <w:p w14:paraId="2D636F8B" w14:textId="77777777" w:rsidR="00615E07" w:rsidRDefault="007A1526" w:rsidP="007A1526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AA-021</w:t>
            </w:r>
          </w:p>
          <w:p w14:paraId="5ABAE5C3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D4181" w14:textId="77777777" w:rsidR="00615E07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Opacity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DFA2" w14:textId="77777777" w:rsidR="00615E07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(fugitive emissions)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E27AA" w14:textId="77777777" w:rsidR="00615E07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Method 22 Visible Emission Evaluations and Documentation in a Logbook</w:t>
            </w:r>
          </w:p>
        </w:tc>
      </w:tr>
      <w:tr w:rsidR="007A1526" w14:paraId="2D751CB8" w14:textId="77777777" w:rsidTr="007A1526">
        <w:trPr>
          <w:trHeight w:val="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CEB2C0D" w14:textId="77777777" w:rsidR="007A1526" w:rsidRPr="00927F12" w:rsidRDefault="007A1526" w:rsidP="007A1526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Emission Point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505D0CE" w14:textId="77777777" w:rsidR="007A1526" w:rsidRPr="00927F12" w:rsidRDefault="007A1526" w:rsidP="007A1526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Pollutant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B283FC3" w14:textId="77777777" w:rsidR="007A1526" w:rsidRPr="00927F12" w:rsidRDefault="007A1526" w:rsidP="007A1526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Draft Permit Emission Limits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222D5E9" w14:textId="77777777" w:rsidR="007A1526" w:rsidRPr="00927F12" w:rsidRDefault="007A1526" w:rsidP="007A1526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27F12">
              <w:rPr>
                <w:b/>
                <w:sz w:val="18"/>
                <w:szCs w:val="18"/>
              </w:rPr>
              <w:t>Monitoring Requirements</w:t>
            </w:r>
          </w:p>
        </w:tc>
      </w:tr>
      <w:tr w:rsidR="00615E07" w14:paraId="282E361A" w14:textId="77777777" w:rsidTr="007A1526">
        <w:trPr>
          <w:trHeight w:val="106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86DB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AA-029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D12208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PM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2F4C" w14:textId="77777777" w:rsidR="00615E07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 g/dscm</w:t>
            </w:r>
          </w:p>
          <w:p w14:paraId="650A6A42" w14:textId="77777777" w:rsidR="00615E07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 lbs/hr and 9.57 tpy</w:t>
            </w:r>
          </w:p>
          <w:p w14:paraId="5B9B4A01" w14:textId="77777777" w:rsidR="00615E07" w:rsidRPr="007B1ECE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2F502" w14:textId="77777777" w:rsidR="00615E07" w:rsidRPr="00661258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 w:rsidRPr="00661258">
              <w:rPr>
                <w:sz w:val="20"/>
                <w:szCs w:val="20"/>
              </w:rPr>
              <w:t>Daily Baghouse Pressure Drop Monitoring Requirements, Weekly Inspection and Maintenance Requirements, and Biennial Performance Stack Testing</w:t>
            </w:r>
          </w:p>
        </w:tc>
      </w:tr>
      <w:tr w:rsidR="00615E07" w14:paraId="0ED29D77" w14:textId="77777777" w:rsidTr="007A1526">
        <w:trPr>
          <w:trHeight w:val="525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E56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D5C961" w14:textId="77777777" w:rsidR="00615E07" w:rsidRPr="00455CBF" w:rsidRDefault="00615E07" w:rsidP="00927F12">
            <w:pPr>
              <w:tabs>
                <w:tab w:val="left" w:pos="-1213"/>
                <w:tab w:val="left" w:pos="-720"/>
                <w:tab w:val="left" w:pos="0"/>
                <w:tab w:val="left" w:pos="810"/>
              </w:tabs>
              <w:jc w:val="center"/>
            </w:pPr>
            <w:r>
              <w:t>Opacity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B7AAA" w14:textId="77777777" w:rsidR="00615E07" w:rsidRPr="00455CBF" w:rsidRDefault="00615E07" w:rsidP="00927F12">
            <w:pPr>
              <w:pStyle w:val="NoSpacing"/>
              <w:jc w:val="center"/>
            </w:pPr>
            <w:r>
              <w:rPr>
                <w:sz w:val="20"/>
                <w:szCs w:val="20"/>
              </w:rPr>
              <w:t>10% (fugitive emissions)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D78DD" w14:textId="77777777" w:rsidR="00615E07" w:rsidRDefault="00615E07" w:rsidP="00927F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Method 22 Visible Emission Evaluations</w:t>
            </w:r>
          </w:p>
        </w:tc>
      </w:tr>
    </w:tbl>
    <w:p w14:paraId="40EF9647" w14:textId="77777777" w:rsidR="00531513" w:rsidRDefault="00531513" w:rsidP="00531513">
      <w:pPr>
        <w:rPr>
          <w:sz w:val="24"/>
          <w:szCs w:val="24"/>
        </w:rPr>
      </w:pPr>
    </w:p>
    <w:p w14:paraId="4264F689" w14:textId="77777777" w:rsidR="00BA3BCF" w:rsidRDefault="00BA3BCF" w:rsidP="00104CE2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4"/>
          <w:szCs w:val="24"/>
        </w:rPr>
      </w:pPr>
    </w:p>
    <w:p w14:paraId="3652D052" w14:textId="77777777" w:rsidR="00BA3BCF" w:rsidRPr="00BA3BCF" w:rsidRDefault="00BA3BCF" w:rsidP="00BA3BCF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32"/>
          <w:szCs w:val="24"/>
        </w:rPr>
      </w:pPr>
    </w:p>
    <w:sectPr w:rsidR="00BA3BCF" w:rsidRPr="00BA3BCF" w:rsidSect="00421490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EBF3" w14:textId="77777777" w:rsidR="005606D9" w:rsidRDefault="005606D9">
      <w:r>
        <w:separator/>
      </w:r>
    </w:p>
  </w:endnote>
  <w:endnote w:type="continuationSeparator" w:id="0">
    <w:p w14:paraId="6425B3E6" w14:textId="77777777" w:rsidR="005606D9" w:rsidRDefault="005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47A3" w14:textId="77777777" w:rsidR="005E1C12" w:rsidRDefault="00DD63C9">
    <w:pPr>
      <w:pStyle w:val="Footer"/>
      <w:tabs>
        <w:tab w:val="clear" w:pos="8640"/>
        <w:tab w:val="right" w:pos="9270"/>
      </w:tabs>
    </w:pPr>
    <w:r>
      <w:t>5160</w:t>
    </w:r>
    <w:r w:rsidRPr="0022724B">
      <w:t xml:space="preserve"> </w:t>
    </w:r>
    <w:r>
      <w:t>PER2020</w:t>
    </w:r>
    <w:r w:rsidRPr="0022724B">
      <w:t>0001</w:t>
    </w:r>
    <w:r w:rsidR="005E1C12">
      <w:tab/>
    </w:r>
    <w:r w:rsidR="005E1C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E206" w14:textId="77777777" w:rsidR="005606D9" w:rsidRDefault="005606D9">
      <w:r>
        <w:separator/>
      </w:r>
    </w:p>
  </w:footnote>
  <w:footnote w:type="continuationSeparator" w:id="0">
    <w:p w14:paraId="1FB6E7A8" w14:textId="77777777" w:rsidR="005606D9" w:rsidRDefault="005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A1A0" w14:textId="77777777" w:rsidR="00BC4760" w:rsidRPr="00BC4760" w:rsidRDefault="00BC4760">
    <w:pPr>
      <w:pStyle w:val="Header"/>
      <w:jc w:val="right"/>
      <w:rPr>
        <w:sz w:val="24"/>
        <w:szCs w:val="24"/>
      </w:rPr>
    </w:pPr>
    <w:r w:rsidRPr="00BC4760">
      <w:rPr>
        <w:sz w:val="24"/>
        <w:szCs w:val="24"/>
      </w:rPr>
      <w:t>Information Relative to the Title V Permit</w:t>
    </w:r>
  </w:p>
  <w:p w14:paraId="636F5695" w14:textId="589B5149" w:rsidR="00BC4760" w:rsidRDefault="00BC4760">
    <w:pPr>
      <w:pStyle w:val="Header"/>
      <w:jc w:val="right"/>
    </w:pPr>
    <w:r w:rsidRPr="00BC4760">
      <w:rPr>
        <w:sz w:val="24"/>
        <w:szCs w:val="24"/>
      </w:rPr>
      <w:t xml:space="preserve">Page </w:t>
    </w:r>
    <w:r w:rsidRPr="00BC4760">
      <w:rPr>
        <w:bCs/>
        <w:sz w:val="24"/>
        <w:szCs w:val="24"/>
      </w:rPr>
      <w:fldChar w:fldCharType="begin"/>
    </w:r>
    <w:r w:rsidRPr="00BC4760">
      <w:rPr>
        <w:bCs/>
        <w:sz w:val="24"/>
        <w:szCs w:val="24"/>
      </w:rPr>
      <w:instrText xml:space="preserve"> PAGE </w:instrText>
    </w:r>
    <w:r w:rsidRPr="00BC4760">
      <w:rPr>
        <w:bCs/>
        <w:sz w:val="24"/>
        <w:szCs w:val="24"/>
      </w:rPr>
      <w:fldChar w:fldCharType="separate"/>
    </w:r>
    <w:r w:rsidR="007307CD">
      <w:rPr>
        <w:bCs/>
        <w:noProof/>
        <w:sz w:val="24"/>
        <w:szCs w:val="24"/>
      </w:rPr>
      <w:t>4</w:t>
    </w:r>
    <w:r w:rsidRPr="00BC4760">
      <w:rPr>
        <w:bCs/>
        <w:sz w:val="24"/>
        <w:szCs w:val="24"/>
      </w:rPr>
      <w:fldChar w:fldCharType="end"/>
    </w:r>
    <w:r w:rsidRPr="00BC4760">
      <w:rPr>
        <w:sz w:val="24"/>
        <w:szCs w:val="24"/>
      </w:rPr>
      <w:t xml:space="preserve"> of </w:t>
    </w:r>
    <w:r w:rsidRPr="00BC4760">
      <w:rPr>
        <w:bCs/>
        <w:sz w:val="24"/>
        <w:szCs w:val="24"/>
      </w:rPr>
      <w:fldChar w:fldCharType="begin"/>
    </w:r>
    <w:r w:rsidRPr="00BC4760">
      <w:rPr>
        <w:bCs/>
        <w:sz w:val="24"/>
        <w:szCs w:val="24"/>
      </w:rPr>
      <w:instrText xml:space="preserve"> NUMPAGES  </w:instrText>
    </w:r>
    <w:r w:rsidRPr="00BC4760">
      <w:rPr>
        <w:bCs/>
        <w:sz w:val="24"/>
        <w:szCs w:val="24"/>
      </w:rPr>
      <w:fldChar w:fldCharType="separate"/>
    </w:r>
    <w:r w:rsidR="007307CD">
      <w:rPr>
        <w:bCs/>
        <w:noProof/>
        <w:sz w:val="24"/>
        <w:szCs w:val="24"/>
      </w:rPr>
      <w:t>7</w:t>
    </w:r>
    <w:r w:rsidRPr="00BC4760">
      <w:rPr>
        <w:bCs/>
        <w:sz w:val="24"/>
        <w:szCs w:val="24"/>
      </w:rPr>
      <w:fldChar w:fldCharType="end"/>
    </w:r>
  </w:p>
  <w:p w14:paraId="41597BB4" w14:textId="77777777" w:rsidR="00BC4760" w:rsidRDefault="00BC4760" w:rsidP="00BC47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350"/>
    <w:multiLevelType w:val="hybridMultilevel"/>
    <w:tmpl w:val="26749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6BC"/>
    <w:multiLevelType w:val="hybridMultilevel"/>
    <w:tmpl w:val="FE186438"/>
    <w:lvl w:ilvl="0" w:tplc="607014B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DF40CE"/>
    <w:multiLevelType w:val="hybridMultilevel"/>
    <w:tmpl w:val="CFCC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D"/>
    <w:rsid w:val="00043212"/>
    <w:rsid w:val="0005117D"/>
    <w:rsid w:val="00077A9A"/>
    <w:rsid w:val="00083009"/>
    <w:rsid w:val="000C10C1"/>
    <w:rsid w:val="000D767A"/>
    <w:rsid w:val="000E2D1E"/>
    <w:rsid w:val="00102629"/>
    <w:rsid w:val="00104CE2"/>
    <w:rsid w:val="00116779"/>
    <w:rsid w:val="00141F9A"/>
    <w:rsid w:val="00151AE0"/>
    <w:rsid w:val="00161C17"/>
    <w:rsid w:val="0018210B"/>
    <w:rsid w:val="001D342F"/>
    <w:rsid w:val="002109C2"/>
    <w:rsid w:val="00214A69"/>
    <w:rsid w:val="0022724B"/>
    <w:rsid w:val="002412C2"/>
    <w:rsid w:val="0025327D"/>
    <w:rsid w:val="00272DF9"/>
    <w:rsid w:val="00280FAA"/>
    <w:rsid w:val="002A62E3"/>
    <w:rsid w:val="002A6A0A"/>
    <w:rsid w:val="002A71C6"/>
    <w:rsid w:val="002B033D"/>
    <w:rsid w:val="002B4CF9"/>
    <w:rsid w:val="002D58EE"/>
    <w:rsid w:val="003134DF"/>
    <w:rsid w:val="00331392"/>
    <w:rsid w:val="003569E6"/>
    <w:rsid w:val="003812E3"/>
    <w:rsid w:val="003A4126"/>
    <w:rsid w:val="003C2807"/>
    <w:rsid w:val="003E1CD8"/>
    <w:rsid w:val="003F7CF6"/>
    <w:rsid w:val="00421490"/>
    <w:rsid w:val="00430F3D"/>
    <w:rsid w:val="004319CD"/>
    <w:rsid w:val="00455CBF"/>
    <w:rsid w:val="00461018"/>
    <w:rsid w:val="00471345"/>
    <w:rsid w:val="0048090B"/>
    <w:rsid w:val="0049771A"/>
    <w:rsid w:val="004C05B8"/>
    <w:rsid w:val="00502BDC"/>
    <w:rsid w:val="0050379B"/>
    <w:rsid w:val="00520D70"/>
    <w:rsid w:val="00531513"/>
    <w:rsid w:val="00533EFC"/>
    <w:rsid w:val="005606D9"/>
    <w:rsid w:val="00573932"/>
    <w:rsid w:val="0057731E"/>
    <w:rsid w:val="00577CB8"/>
    <w:rsid w:val="00595509"/>
    <w:rsid w:val="005C4255"/>
    <w:rsid w:val="005C46A6"/>
    <w:rsid w:val="005D0C80"/>
    <w:rsid w:val="005D60A6"/>
    <w:rsid w:val="005E1C12"/>
    <w:rsid w:val="005F6106"/>
    <w:rsid w:val="00615E07"/>
    <w:rsid w:val="0062527B"/>
    <w:rsid w:val="00661258"/>
    <w:rsid w:val="00665743"/>
    <w:rsid w:val="00681AD1"/>
    <w:rsid w:val="0069240F"/>
    <w:rsid w:val="006A2FCD"/>
    <w:rsid w:val="006A3D2C"/>
    <w:rsid w:val="006A52EB"/>
    <w:rsid w:val="006B6ADF"/>
    <w:rsid w:val="006D03A8"/>
    <w:rsid w:val="006E74C7"/>
    <w:rsid w:val="006F0510"/>
    <w:rsid w:val="0072616E"/>
    <w:rsid w:val="007307CD"/>
    <w:rsid w:val="00735840"/>
    <w:rsid w:val="00745B25"/>
    <w:rsid w:val="0076636C"/>
    <w:rsid w:val="007A1526"/>
    <w:rsid w:val="007B1ECE"/>
    <w:rsid w:val="007C1397"/>
    <w:rsid w:val="007D59A6"/>
    <w:rsid w:val="007E6D99"/>
    <w:rsid w:val="008351FA"/>
    <w:rsid w:val="008379B5"/>
    <w:rsid w:val="008406E7"/>
    <w:rsid w:val="00852478"/>
    <w:rsid w:val="0086140E"/>
    <w:rsid w:val="00861D2C"/>
    <w:rsid w:val="0089117D"/>
    <w:rsid w:val="008A1F39"/>
    <w:rsid w:val="008F3A41"/>
    <w:rsid w:val="00900E96"/>
    <w:rsid w:val="00912851"/>
    <w:rsid w:val="00913A3B"/>
    <w:rsid w:val="00923EC6"/>
    <w:rsid w:val="00927F12"/>
    <w:rsid w:val="00934A58"/>
    <w:rsid w:val="00941800"/>
    <w:rsid w:val="009733EB"/>
    <w:rsid w:val="00984B3A"/>
    <w:rsid w:val="00991620"/>
    <w:rsid w:val="009A1E5D"/>
    <w:rsid w:val="009A732B"/>
    <w:rsid w:val="009B7E5B"/>
    <w:rsid w:val="009E3C18"/>
    <w:rsid w:val="00A04007"/>
    <w:rsid w:val="00A210D0"/>
    <w:rsid w:val="00A219FF"/>
    <w:rsid w:val="00A31F25"/>
    <w:rsid w:val="00A35286"/>
    <w:rsid w:val="00A70485"/>
    <w:rsid w:val="00AA0887"/>
    <w:rsid w:val="00AB6090"/>
    <w:rsid w:val="00AD7559"/>
    <w:rsid w:val="00AE00C1"/>
    <w:rsid w:val="00AE4F70"/>
    <w:rsid w:val="00B07124"/>
    <w:rsid w:val="00B56B85"/>
    <w:rsid w:val="00B574F1"/>
    <w:rsid w:val="00BA35A4"/>
    <w:rsid w:val="00BA3BCF"/>
    <w:rsid w:val="00BC4760"/>
    <w:rsid w:val="00BF16FD"/>
    <w:rsid w:val="00C03199"/>
    <w:rsid w:val="00C159FA"/>
    <w:rsid w:val="00C50599"/>
    <w:rsid w:val="00C53F3A"/>
    <w:rsid w:val="00C71957"/>
    <w:rsid w:val="00C72133"/>
    <w:rsid w:val="00CB077D"/>
    <w:rsid w:val="00CC1957"/>
    <w:rsid w:val="00CD0B95"/>
    <w:rsid w:val="00D0538F"/>
    <w:rsid w:val="00D62E13"/>
    <w:rsid w:val="00D7182F"/>
    <w:rsid w:val="00D90F67"/>
    <w:rsid w:val="00DA133D"/>
    <w:rsid w:val="00DD5DF1"/>
    <w:rsid w:val="00DD63C9"/>
    <w:rsid w:val="00DF31AD"/>
    <w:rsid w:val="00E03D2E"/>
    <w:rsid w:val="00E302DE"/>
    <w:rsid w:val="00E32C65"/>
    <w:rsid w:val="00E60EA3"/>
    <w:rsid w:val="00E65FB7"/>
    <w:rsid w:val="00E76429"/>
    <w:rsid w:val="00E76B73"/>
    <w:rsid w:val="00E77C66"/>
    <w:rsid w:val="00EB49A8"/>
    <w:rsid w:val="00ED2C87"/>
    <w:rsid w:val="00ED6D14"/>
    <w:rsid w:val="00EE630B"/>
    <w:rsid w:val="00F2153D"/>
    <w:rsid w:val="00F83CBF"/>
    <w:rsid w:val="00FA44A5"/>
    <w:rsid w:val="00FA560E"/>
    <w:rsid w:val="00FC0485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FE4F1"/>
  <w14:defaultImageDpi w14:val="0"/>
  <w15:docId w15:val="{34763AF0-7F9A-4B7C-83B1-5CBC0D3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</w:tabs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90"/>
      </w:tabs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4860"/>
      </w:tabs>
      <w:spacing w:after="240"/>
      <w:ind w:left="4867"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320"/>
      </w:tabs>
      <w:ind w:left="4320" w:hanging="46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320"/>
        <w:tab w:val="left" w:pos="4860"/>
        <w:tab w:val="left" w:pos="5220"/>
      </w:tabs>
      <w:ind w:left="36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900"/>
      </w:tabs>
      <w:spacing w:before="120" w:after="120"/>
      <w:jc w:val="center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90"/>
      </w:tabs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90"/>
      </w:tabs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900"/>
      </w:tabs>
      <w:spacing w:before="120" w:after="120"/>
      <w:jc w:val="both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customStyle="1" w:styleId="ReferenceLine">
    <w:name w:val="Reference Line"/>
    <w:basedOn w:val="BodyText"/>
    <w:uiPriority w:val="99"/>
  </w:style>
  <w:style w:type="paragraph" w:customStyle="1" w:styleId="CcList">
    <w:name w:val="Cc List"/>
    <w:basedOn w:val="Normal"/>
    <w:uiPriority w:val="99"/>
    <w:pPr>
      <w:widowControl w:val="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90"/>
      </w:tabs>
      <w:spacing w:after="24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tabs>
        <w:tab w:val="center" w:pos="4650"/>
      </w:tabs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220"/>
      </w:tabs>
      <w:ind w:left="43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220"/>
      </w:tabs>
      <w:ind w:left="43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1"/>
    <w:aliases w:val="2,3"/>
    <w:uiPriority w:val="99"/>
    <w:pPr>
      <w:autoSpaceDE w:val="0"/>
      <w:autoSpaceDN w:val="0"/>
      <w:spacing w:after="0" w:line="240" w:lineRule="auto"/>
      <w:ind w:left="72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10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0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018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rsid w:val="006A52EB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615E07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 Field</vt:lpstr>
    </vt:vector>
  </TitlesOfParts>
  <Company>Office of Pollution Control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 Field</dc:title>
  <dc:subject/>
  <dc:creator>Bruce Ferguson</dc:creator>
  <cp:keywords/>
  <dc:description/>
  <cp:lastModifiedBy>Jaricus Whitlock</cp:lastModifiedBy>
  <cp:revision>2</cp:revision>
  <cp:lastPrinted>2019-09-20T14:53:00Z</cp:lastPrinted>
  <dcterms:created xsi:type="dcterms:W3CDTF">2020-10-07T17:33:00Z</dcterms:created>
  <dcterms:modified xsi:type="dcterms:W3CDTF">2020-10-07T17:33:00Z</dcterms:modified>
</cp:coreProperties>
</file>