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C5154" w14:textId="77777777" w:rsidR="00AE785C" w:rsidRDefault="00AE785C">
      <w:pPr>
        <w:pStyle w:val="Title"/>
        <w:rPr>
          <w:sz w:val="28"/>
          <w:szCs w:val="28"/>
          <w:u w:val="single"/>
        </w:rPr>
      </w:pPr>
      <w:r>
        <w:rPr>
          <w:sz w:val="28"/>
          <w:szCs w:val="28"/>
          <w:u w:val="single"/>
        </w:rPr>
        <w:t>PERMIT REVIEW SUMMARY</w:t>
      </w:r>
    </w:p>
    <w:p w14:paraId="4478ED64" w14:textId="77777777" w:rsidR="00AE785C" w:rsidRDefault="00AE785C">
      <w:pPr>
        <w:pStyle w:val="Title"/>
        <w:jc w:val="both"/>
      </w:pPr>
    </w:p>
    <w:p w14:paraId="6E37E20D" w14:textId="4CFB8E30" w:rsidR="00233312" w:rsidRDefault="00233312" w:rsidP="00233312">
      <w:pPr>
        <w:pStyle w:val="Title"/>
        <w:jc w:val="both"/>
      </w:pPr>
      <w:r>
        <w:t>Permit Writer:</w:t>
      </w:r>
      <w:r>
        <w:tab/>
      </w:r>
      <w:r w:rsidR="006A1C41">
        <w:rPr>
          <w:b w:val="0"/>
        </w:rPr>
        <w:t>Ivelina Pilgrim</w:t>
      </w:r>
      <w:r>
        <w:rPr>
          <w:b w:val="0"/>
        </w:rPr>
        <w:t xml:space="preserve"> </w:t>
      </w:r>
      <w:r>
        <w:rPr>
          <w:b w:val="0"/>
        </w:rPr>
        <w:tab/>
      </w:r>
      <w:r w:rsidR="006A1C41">
        <w:rPr>
          <w:b w:val="0"/>
        </w:rPr>
        <w:t xml:space="preserve">                           </w:t>
      </w:r>
      <w:r>
        <w:t>Date:</w:t>
      </w:r>
      <w:r>
        <w:rPr>
          <w:b w:val="0"/>
        </w:rPr>
        <w:tab/>
      </w:r>
      <w:r w:rsidR="00210E2D">
        <w:rPr>
          <w:b w:val="0"/>
        </w:rPr>
        <w:t>September 30</w:t>
      </w:r>
      <w:r w:rsidR="007E7FB4">
        <w:rPr>
          <w:b w:val="0"/>
        </w:rPr>
        <w:t>, 2022</w:t>
      </w:r>
    </w:p>
    <w:p w14:paraId="70E80CEC" w14:textId="77777777" w:rsidR="00562523" w:rsidRDefault="00562523">
      <w:pPr>
        <w:pStyle w:val="Title"/>
        <w:jc w:val="both"/>
      </w:pPr>
    </w:p>
    <w:p w14:paraId="1144B1D9" w14:textId="77777777" w:rsidR="00AE785C" w:rsidRDefault="00AE785C">
      <w:pPr>
        <w:pStyle w:val="Title"/>
        <w:jc w:val="both"/>
      </w:pPr>
      <w:r>
        <w:t>Company Name:</w:t>
      </w:r>
      <w:r>
        <w:tab/>
      </w:r>
      <w:r w:rsidR="00594D6D">
        <w:rPr>
          <w:b w:val="0"/>
          <w:bCs w:val="0"/>
        </w:rPr>
        <w:t>La-Z-</w:t>
      </w:r>
      <w:r>
        <w:rPr>
          <w:b w:val="0"/>
          <w:bCs w:val="0"/>
        </w:rPr>
        <w:t>Boy</w:t>
      </w:r>
      <w:r w:rsidR="00594D6D">
        <w:rPr>
          <w:b w:val="0"/>
          <w:bCs w:val="0"/>
        </w:rPr>
        <w:t>, Inc. –</w:t>
      </w:r>
      <w:r>
        <w:rPr>
          <w:b w:val="0"/>
          <w:bCs w:val="0"/>
        </w:rPr>
        <w:t xml:space="preserve"> Plant 21</w:t>
      </w:r>
    </w:p>
    <w:p w14:paraId="13678BE8" w14:textId="77777777" w:rsidR="00AE785C" w:rsidRDefault="00AE785C">
      <w:pPr>
        <w:pStyle w:val="Title"/>
        <w:jc w:val="both"/>
      </w:pPr>
    </w:p>
    <w:p w14:paraId="066EEDFF" w14:textId="77777777" w:rsidR="00AE785C" w:rsidRDefault="00AE785C">
      <w:pPr>
        <w:pStyle w:val="Title"/>
        <w:jc w:val="both"/>
        <w:rPr>
          <w:b w:val="0"/>
          <w:bCs w:val="0"/>
        </w:rPr>
      </w:pPr>
      <w:r>
        <w:t>Facility Location:</w:t>
      </w:r>
      <w:r>
        <w:tab/>
      </w:r>
      <w:r>
        <w:rPr>
          <w:b w:val="0"/>
          <w:bCs w:val="0"/>
        </w:rPr>
        <w:t>9482 Eastside Drive Extension</w:t>
      </w:r>
    </w:p>
    <w:p w14:paraId="68ACF147" w14:textId="77777777" w:rsidR="00AE785C" w:rsidRPr="00B11673" w:rsidRDefault="00B11673" w:rsidP="00B11673">
      <w:pPr>
        <w:pStyle w:val="Title"/>
        <w:tabs>
          <w:tab w:val="left" w:pos="2378"/>
        </w:tabs>
        <w:jc w:val="both"/>
        <w:rPr>
          <w:b w:val="0"/>
        </w:rPr>
      </w:pPr>
      <w:r>
        <w:t xml:space="preserve">                                    </w:t>
      </w:r>
      <w:r w:rsidRPr="00B11673">
        <w:rPr>
          <w:b w:val="0"/>
        </w:rPr>
        <w:t>Newton, M</w:t>
      </w:r>
      <w:r w:rsidR="00594D6D">
        <w:rPr>
          <w:b w:val="0"/>
        </w:rPr>
        <w:t>S</w:t>
      </w:r>
    </w:p>
    <w:p w14:paraId="4DB11FFC" w14:textId="77777777" w:rsidR="00B11673" w:rsidRPr="00B11673" w:rsidRDefault="00B11673" w:rsidP="00B11673">
      <w:pPr>
        <w:pStyle w:val="Title"/>
        <w:tabs>
          <w:tab w:val="left" w:pos="2378"/>
        </w:tabs>
        <w:jc w:val="both"/>
        <w:rPr>
          <w:b w:val="0"/>
        </w:rPr>
      </w:pPr>
    </w:p>
    <w:p w14:paraId="1F24F5AB" w14:textId="77777777" w:rsidR="00AE785C" w:rsidRDefault="00AE785C">
      <w:pPr>
        <w:pStyle w:val="Title"/>
        <w:jc w:val="both"/>
      </w:pPr>
      <w:r>
        <w:t>Source Number:</w:t>
      </w:r>
      <w:r>
        <w:tab/>
      </w:r>
      <w:r>
        <w:rPr>
          <w:b w:val="0"/>
          <w:bCs w:val="0"/>
        </w:rPr>
        <w:t>1980-00010</w:t>
      </w:r>
    </w:p>
    <w:p w14:paraId="67F162E8" w14:textId="77777777" w:rsidR="00AE785C" w:rsidRDefault="00AE785C">
      <w:pPr>
        <w:pStyle w:val="Title"/>
        <w:jc w:val="both"/>
      </w:pPr>
    </w:p>
    <w:p w14:paraId="326C4A8E" w14:textId="77777777" w:rsidR="00AE785C" w:rsidRDefault="00AE785C">
      <w:pPr>
        <w:pStyle w:val="Title"/>
        <w:jc w:val="both"/>
      </w:pPr>
      <w:r>
        <w:t xml:space="preserve">County: </w:t>
      </w:r>
      <w:r>
        <w:tab/>
      </w:r>
      <w:r>
        <w:tab/>
      </w:r>
      <w:r>
        <w:rPr>
          <w:b w:val="0"/>
          <w:bCs w:val="0"/>
        </w:rPr>
        <w:t>Newton</w:t>
      </w:r>
    </w:p>
    <w:p w14:paraId="7F74EF1E" w14:textId="77777777" w:rsidR="00AE785C" w:rsidRDefault="00AE785C">
      <w:pPr>
        <w:pStyle w:val="Title"/>
        <w:jc w:val="both"/>
      </w:pPr>
    </w:p>
    <w:p w14:paraId="44064151" w14:textId="77777777" w:rsidR="001D7E96" w:rsidRDefault="001D7E96" w:rsidP="001D7E96">
      <w:pPr>
        <w:pStyle w:val="Title"/>
        <w:jc w:val="both"/>
        <w:rPr>
          <w:u w:val="single"/>
        </w:rPr>
      </w:pPr>
      <w:r>
        <w:rPr>
          <w:u w:val="single"/>
        </w:rPr>
        <w:t>FACILITY DESCRIPTION</w:t>
      </w:r>
    </w:p>
    <w:p w14:paraId="3F049E29" w14:textId="77777777" w:rsidR="001D7E96" w:rsidRDefault="001D7E96" w:rsidP="001D7E96">
      <w:pPr>
        <w:pStyle w:val="Title"/>
        <w:jc w:val="both"/>
        <w:rPr>
          <w:u w:val="single"/>
        </w:rPr>
      </w:pPr>
    </w:p>
    <w:p w14:paraId="2F346DA7" w14:textId="77777777" w:rsidR="001D7E96" w:rsidRDefault="004A57AE" w:rsidP="001D7E96">
      <w:pPr>
        <w:pStyle w:val="Title"/>
        <w:jc w:val="both"/>
        <w:rPr>
          <w:b w:val="0"/>
          <w:bCs w:val="0"/>
        </w:rPr>
      </w:pPr>
      <w:r>
        <w:rPr>
          <w:b w:val="0"/>
          <w:bCs w:val="0"/>
        </w:rPr>
        <w:t xml:space="preserve">La Z Boy Inc., Plant 21 (“La-Z-Boy”) is an existing facility </w:t>
      </w:r>
      <w:r w:rsidR="00BE32F0">
        <w:rPr>
          <w:b w:val="0"/>
          <w:bCs w:val="0"/>
        </w:rPr>
        <w:t>that manufact</w:t>
      </w:r>
      <w:r w:rsidR="00404809">
        <w:rPr>
          <w:b w:val="0"/>
          <w:bCs w:val="0"/>
        </w:rPr>
        <w:t xml:space="preserve">ures components for upholstered </w:t>
      </w:r>
      <w:r w:rsidR="00BE32F0">
        <w:rPr>
          <w:b w:val="0"/>
          <w:bCs w:val="0"/>
        </w:rPr>
        <w:t>furniture from plywood, oriented strand board (OSB)</w:t>
      </w:r>
      <w:r w:rsidR="000D08EA">
        <w:rPr>
          <w:b w:val="0"/>
          <w:bCs w:val="0"/>
        </w:rPr>
        <w:t>,</w:t>
      </w:r>
      <w:r w:rsidR="00BE32F0">
        <w:rPr>
          <w:b w:val="0"/>
          <w:bCs w:val="0"/>
        </w:rPr>
        <w:t xml:space="preserve"> and particle board. The facility’s </w:t>
      </w:r>
      <w:r w:rsidR="000D08EA">
        <w:rPr>
          <w:b w:val="0"/>
          <w:bCs w:val="0"/>
        </w:rPr>
        <w:t xml:space="preserve">overall </w:t>
      </w:r>
      <w:r w:rsidR="00BE32F0">
        <w:rPr>
          <w:b w:val="0"/>
          <w:bCs w:val="0"/>
        </w:rPr>
        <w:t>operations fall under SIC Code</w:t>
      </w:r>
      <w:r w:rsidR="004F41E7">
        <w:rPr>
          <w:b w:val="0"/>
          <w:bCs w:val="0"/>
        </w:rPr>
        <w:t>s</w:t>
      </w:r>
      <w:r w:rsidR="00BE32F0">
        <w:rPr>
          <w:b w:val="0"/>
          <w:bCs w:val="0"/>
        </w:rPr>
        <w:t xml:space="preserve"> </w:t>
      </w:r>
      <w:r w:rsidR="004F41E7">
        <w:rPr>
          <w:b w:val="0"/>
          <w:bCs w:val="0"/>
        </w:rPr>
        <w:t>2499 (</w:t>
      </w:r>
      <w:r w:rsidR="004F41E7" w:rsidRPr="004F41E7">
        <w:rPr>
          <w:b w:val="0"/>
          <w:bCs w:val="0"/>
        </w:rPr>
        <w:t>Wood Products, Not Elsewhere Classified</w:t>
      </w:r>
      <w:r w:rsidR="004F41E7">
        <w:rPr>
          <w:b w:val="0"/>
          <w:bCs w:val="0"/>
        </w:rPr>
        <w:t>) and 2519 (</w:t>
      </w:r>
      <w:r w:rsidR="004F41E7" w:rsidRPr="004F41E7">
        <w:rPr>
          <w:b w:val="0"/>
          <w:bCs w:val="0"/>
        </w:rPr>
        <w:t>Household Furniture, Not Elsewhere Classified</w:t>
      </w:r>
      <w:r w:rsidR="004F41E7">
        <w:rPr>
          <w:b w:val="0"/>
          <w:bCs w:val="0"/>
        </w:rPr>
        <w:t xml:space="preserve">). </w:t>
      </w:r>
    </w:p>
    <w:p w14:paraId="095F6295" w14:textId="77777777" w:rsidR="00080C1E" w:rsidRDefault="00080C1E" w:rsidP="001D7E96">
      <w:pPr>
        <w:pStyle w:val="Title"/>
        <w:jc w:val="both"/>
        <w:rPr>
          <w:b w:val="0"/>
          <w:bCs w:val="0"/>
        </w:rPr>
      </w:pPr>
    </w:p>
    <w:p w14:paraId="2B55A979" w14:textId="77777777" w:rsidR="00080C1E" w:rsidRDefault="00F56387" w:rsidP="001D7E96">
      <w:pPr>
        <w:pStyle w:val="Title"/>
        <w:jc w:val="both"/>
        <w:rPr>
          <w:b w:val="0"/>
          <w:bCs w:val="0"/>
        </w:rPr>
      </w:pPr>
      <w:r>
        <w:rPr>
          <w:b w:val="0"/>
          <w:bCs w:val="0"/>
        </w:rPr>
        <w:t xml:space="preserve">La-Z-Boy receives </w:t>
      </w:r>
      <w:r w:rsidR="004F41E7">
        <w:rPr>
          <w:b w:val="0"/>
          <w:bCs w:val="0"/>
        </w:rPr>
        <w:t xml:space="preserve">sheets of </w:t>
      </w:r>
      <w:r w:rsidR="00404809">
        <w:rPr>
          <w:b w:val="0"/>
          <w:bCs w:val="0"/>
        </w:rPr>
        <w:t>plywood, OSB</w:t>
      </w:r>
      <w:r w:rsidR="000D08EA">
        <w:rPr>
          <w:b w:val="0"/>
          <w:bCs w:val="0"/>
        </w:rPr>
        <w:t>,</w:t>
      </w:r>
      <w:r w:rsidR="00404809">
        <w:rPr>
          <w:b w:val="0"/>
          <w:bCs w:val="0"/>
        </w:rPr>
        <w:t xml:space="preserve"> and particle board</w:t>
      </w:r>
      <w:r w:rsidR="004F41E7">
        <w:rPr>
          <w:b w:val="0"/>
          <w:bCs w:val="0"/>
        </w:rPr>
        <w:t xml:space="preserve"> </w:t>
      </w:r>
      <w:r w:rsidR="00C8207E">
        <w:rPr>
          <w:b w:val="0"/>
          <w:bCs w:val="0"/>
        </w:rPr>
        <w:t>and</w:t>
      </w:r>
      <w:r>
        <w:rPr>
          <w:b w:val="0"/>
          <w:bCs w:val="0"/>
        </w:rPr>
        <w:t xml:space="preserve"> cut</w:t>
      </w:r>
      <w:r w:rsidR="00FB00EF">
        <w:rPr>
          <w:b w:val="0"/>
          <w:bCs w:val="0"/>
        </w:rPr>
        <w:t>s</w:t>
      </w:r>
      <w:r>
        <w:rPr>
          <w:b w:val="0"/>
          <w:bCs w:val="0"/>
        </w:rPr>
        <w:t xml:space="preserve"> </w:t>
      </w:r>
      <w:r w:rsidR="00C8207E">
        <w:rPr>
          <w:b w:val="0"/>
          <w:bCs w:val="0"/>
        </w:rPr>
        <w:t>them into</w:t>
      </w:r>
      <w:r w:rsidR="004F41E7">
        <w:rPr>
          <w:b w:val="0"/>
          <w:bCs w:val="0"/>
        </w:rPr>
        <w:t xml:space="preserve"> </w:t>
      </w:r>
      <w:r>
        <w:rPr>
          <w:b w:val="0"/>
          <w:bCs w:val="0"/>
        </w:rPr>
        <w:t>patterned shapes</w:t>
      </w:r>
      <w:r w:rsidR="00404809">
        <w:rPr>
          <w:b w:val="0"/>
          <w:bCs w:val="0"/>
        </w:rPr>
        <w:t>.</w:t>
      </w:r>
      <w:r>
        <w:rPr>
          <w:b w:val="0"/>
          <w:bCs w:val="0"/>
        </w:rPr>
        <w:t xml:space="preserve"> </w:t>
      </w:r>
      <w:r w:rsidR="00C8207E">
        <w:rPr>
          <w:b w:val="0"/>
          <w:bCs w:val="0"/>
        </w:rPr>
        <w:t xml:space="preserve">Some </w:t>
      </w:r>
      <w:r w:rsidR="00252E76">
        <w:rPr>
          <w:b w:val="0"/>
          <w:bCs w:val="0"/>
        </w:rPr>
        <w:t xml:space="preserve">of the </w:t>
      </w:r>
      <w:r>
        <w:rPr>
          <w:b w:val="0"/>
          <w:bCs w:val="0"/>
        </w:rPr>
        <w:t xml:space="preserve">components </w:t>
      </w:r>
      <w:r w:rsidR="00C8207E">
        <w:rPr>
          <w:b w:val="0"/>
          <w:bCs w:val="0"/>
        </w:rPr>
        <w:t>undergo drilling</w:t>
      </w:r>
      <w:r w:rsidR="00404809">
        <w:rPr>
          <w:b w:val="0"/>
          <w:bCs w:val="0"/>
        </w:rPr>
        <w:t xml:space="preserve"> </w:t>
      </w:r>
      <w:r>
        <w:rPr>
          <w:b w:val="0"/>
          <w:bCs w:val="0"/>
        </w:rPr>
        <w:t xml:space="preserve">and </w:t>
      </w:r>
      <w:r w:rsidR="00C8207E">
        <w:rPr>
          <w:b w:val="0"/>
          <w:bCs w:val="0"/>
        </w:rPr>
        <w:t>routing</w:t>
      </w:r>
      <w:r>
        <w:rPr>
          <w:b w:val="0"/>
          <w:bCs w:val="0"/>
        </w:rPr>
        <w:t xml:space="preserve"> prior to </w:t>
      </w:r>
      <w:r w:rsidR="00C8207E">
        <w:rPr>
          <w:b w:val="0"/>
          <w:bCs w:val="0"/>
        </w:rPr>
        <w:t xml:space="preserve">being packaged for </w:t>
      </w:r>
      <w:r>
        <w:rPr>
          <w:b w:val="0"/>
          <w:bCs w:val="0"/>
        </w:rPr>
        <w:t xml:space="preserve">shipment. </w:t>
      </w:r>
      <w:r w:rsidR="000D08EA">
        <w:rPr>
          <w:b w:val="0"/>
          <w:bCs w:val="0"/>
        </w:rPr>
        <w:t xml:space="preserve"> </w:t>
      </w:r>
      <w:r w:rsidR="00404809">
        <w:rPr>
          <w:b w:val="0"/>
          <w:bCs w:val="0"/>
        </w:rPr>
        <w:t xml:space="preserve">Emissions from the </w:t>
      </w:r>
      <w:r>
        <w:rPr>
          <w:b w:val="0"/>
          <w:bCs w:val="0"/>
        </w:rPr>
        <w:t xml:space="preserve">facility’s </w:t>
      </w:r>
      <w:r w:rsidR="00404809">
        <w:rPr>
          <w:b w:val="0"/>
          <w:bCs w:val="0"/>
        </w:rPr>
        <w:t>woodworking operations are controlled by three baghouses (</w:t>
      </w:r>
      <w:r w:rsidR="005A0766">
        <w:rPr>
          <w:b w:val="0"/>
          <w:bCs w:val="0"/>
        </w:rPr>
        <w:t xml:space="preserve">Emission Points </w:t>
      </w:r>
      <w:r w:rsidR="00404809">
        <w:rPr>
          <w:b w:val="0"/>
          <w:bCs w:val="0"/>
        </w:rPr>
        <w:t xml:space="preserve">AA-001, AA-002 and AA-003). </w:t>
      </w:r>
    </w:p>
    <w:p w14:paraId="10535B68" w14:textId="77777777" w:rsidR="001D7E96" w:rsidRDefault="001D7E96" w:rsidP="001D7E96">
      <w:pPr>
        <w:pStyle w:val="Title"/>
        <w:jc w:val="both"/>
        <w:rPr>
          <w:u w:val="single"/>
        </w:rPr>
      </w:pPr>
    </w:p>
    <w:p w14:paraId="68E64D17" w14:textId="77777777" w:rsidR="001D7E96" w:rsidRDefault="001D7E96" w:rsidP="001D7E96">
      <w:pPr>
        <w:pStyle w:val="Title"/>
        <w:jc w:val="both"/>
        <w:rPr>
          <w:u w:val="single"/>
        </w:rPr>
      </w:pPr>
      <w:r>
        <w:rPr>
          <w:u w:val="single"/>
        </w:rPr>
        <w:t>PROJECT/PERMIT ACTION DESCRIPTION</w:t>
      </w:r>
    </w:p>
    <w:p w14:paraId="662860EA" w14:textId="77777777" w:rsidR="001D7E96" w:rsidRDefault="001D7E96" w:rsidP="001D7E96">
      <w:pPr>
        <w:pStyle w:val="Title"/>
        <w:jc w:val="both"/>
        <w:rPr>
          <w:u w:val="single"/>
        </w:rPr>
      </w:pPr>
    </w:p>
    <w:p w14:paraId="361AF0FC" w14:textId="6FE3B685" w:rsidR="001D7E96" w:rsidRDefault="00A36FC5" w:rsidP="007E7FB4">
      <w:pPr>
        <w:pStyle w:val="Title"/>
        <w:jc w:val="both"/>
        <w:rPr>
          <w:b w:val="0"/>
          <w:bCs w:val="0"/>
        </w:rPr>
      </w:pPr>
      <w:r>
        <w:rPr>
          <w:b w:val="0"/>
          <w:bCs w:val="0"/>
        </w:rPr>
        <w:t>On April 28, 2022, t</w:t>
      </w:r>
      <w:r w:rsidR="00C41561" w:rsidRPr="00FB0C54">
        <w:rPr>
          <w:b w:val="0"/>
          <w:bCs w:val="0"/>
        </w:rPr>
        <w:t xml:space="preserve">he facility </w:t>
      </w:r>
      <w:r>
        <w:rPr>
          <w:b w:val="0"/>
          <w:bCs w:val="0"/>
        </w:rPr>
        <w:t>submitted an application</w:t>
      </w:r>
      <w:r w:rsidRPr="00FB0C54">
        <w:rPr>
          <w:b w:val="0"/>
          <w:bCs w:val="0"/>
        </w:rPr>
        <w:t xml:space="preserve"> </w:t>
      </w:r>
      <w:r w:rsidR="00C41561" w:rsidRPr="00FB0C54">
        <w:rPr>
          <w:b w:val="0"/>
          <w:bCs w:val="0"/>
        </w:rPr>
        <w:t xml:space="preserve">for a renewal of </w:t>
      </w:r>
      <w:r>
        <w:rPr>
          <w:b w:val="0"/>
          <w:bCs w:val="0"/>
        </w:rPr>
        <w:t>its</w:t>
      </w:r>
      <w:r w:rsidRPr="00FB0C54">
        <w:rPr>
          <w:b w:val="0"/>
          <w:bCs w:val="0"/>
        </w:rPr>
        <w:t xml:space="preserve"> </w:t>
      </w:r>
      <w:r w:rsidR="00C41561" w:rsidRPr="00FB0C54">
        <w:rPr>
          <w:b w:val="0"/>
          <w:bCs w:val="0"/>
        </w:rPr>
        <w:t xml:space="preserve">Synthetic Minor Operating Permit </w:t>
      </w:r>
      <w:r w:rsidR="00C41561">
        <w:rPr>
          <w:b w:val="0"/>
          <w:bCs w:val="0"/>
        </w:rPr>
        <w:t>(SMOP)</w:t>
      </w:r>
      <w:r w:rsidR="00C41561" w:rsidRPr="00FB0C54">
        <w:rPr>
          <w:b w:val="0"/>
          <w:bCs w:val="0"/>
        </w:rPr>
        <w:t xml:space="preserve">. </w:t>
      </w:r>
      <w:r w:rsidR="003B2813">
        <w:rPr>
          <w:b w:val="0"/>
          <w:bCs w:val="0"/>
        </w:rPr>
        <w:t>The facilit</w:t>
      </w:r>
      <w:r w:rsidR="0008743B">
        <w:rPr>
          <w:b w:val="0"/>
          <w:bCs w:val="0"/>
        </w:rPr>
        <w:t>y is proposing the addition of one (1)</w:t>
      </w:r>
      <w:r w:rsidR="003B2813">
        <w:rPr>
          <w:b w:val="0"/>
          <w:bCs w:val="0"/>
        </w:rPr>
        <w:t xml:space="preserve"> natural gas-fired heater </w:t>
      </w:r>
      <w:r w:rsidR="0008743B">
        <w:rPr>
          <w:b w:val="0"/>
          <w:bCs w:val="0"/>
        </w:rPr>
        <w:t xml:space="preserve">for thermal pest control on </w:t>
      </w:r>
      <w:r w:rsidR="003B2813">
        <w:rPr>
          <w:b w:val="0"/>
          <w:bCs w:val="0"/>
        </w:rPr>
        <w:t>wood pallets. Additionally</w:t>
      </w:r>
      <w:r w:rsidR="00C41561" w:rsidRPr="00FB0C54">
        <w:rPr>
          <w:b w:val="0"/>
          <w:bCs w:val="0"/>
        </w:rPr>
        <w:t xml:space="preserve">, </w:t>
      </w:r>
      <w:r w:rsidR="007E7FB4">
        <w:rPr>
          <w:b w:val="0"/>
          <w:bCs w:val="0"/>
        </w:rPr>
        <w:t>based on the MDEQ’s review of the application, a Title V major source avoidance limitation for</w:t>
      </w:r>
      <w:r w:rsidR="00C41561">
        <w:rPr>
          <w:b w:val="0"/>
          <w:bCs w:val="0"/>
        </w:rPr>
        <w:t xml:space="preserve"> </w:t>
      </w:r>
      <w:r w:rsidR="001A50F2">
        <w:rPr>
          <w:b w:val="0"/>
          <w:bCs w:val="0"/>
        </w:rPr>
        <w:t>particulate matter</w:t>
      </w:r>
      <w:r w:rsidR="00C41561" w:rsidRPr="00FB0C54">
        <w:rPr>
          <w:b w:val="0"/>
          <w:bCs w:val="0"/>
        </w:rPr>
        <w:t xml:space="preserve"> </w:t>
      </w:r>
      <w:r w:rsidR="00C41561" w:rsidRPr="00FB0C54">
        <w:rPr>
          <w:b w:val="0"/>
        </w:rPr>
        <w:t>less than 10 microns (µm) in diameter (PM</w:t>
      </w:r>
      <w:r w:rsidR="00C41561" w:rsidRPr="00FB0C54">
        <w:rPr>
          <w:b w:val="0"/>
          <w:vertAlign w:val="subscript"/>
        </w:rPr>
        <w:t>10</w:t>
      </w:r>
      <w:r w:rsidR="00C41561">
        <w:rPr>
          <w:b w:val="0"/>
        </w:rPr>
        <w:t>)</w:t>
      </w:r>
      <w:r w:rsidR="001A50F2" w:rsidRPr="001A50F2">
        <w:rPr>
          <w:b w:val="0"/>
          <w:bCs w:val="0"/>
        </w:rPr>
        <w:t xml:space="preserve"> </w:t>
      </w:r>
      <w:r w:rsidR="001A50F2" w:rsidRPr="00A36FC5">
        <w:rPr>
          <w:b w:val="0"/>
          <w:bCs w:val="0"/>
        </w:rPr>
        <w:t>has been included within the renewed SMOP</w:t>
      </w:r>
      <w:r>
        <w:rPr>
          <w:b w:val="0"/>
        </w:rPr>
        <w:t xml:space="preserve"> due to the conservative nature in which the facility calculated PM-related emissions</w:t>
      </w:r>
      <w:r w:rsidR="00C41561">
        <w:rPr>
          <w:b w:val="0"/>
        </w:rPr>
        <w:t xml:space="preserve">. </w:t>
      </w:r>
      <w:r w:rsidR="007E7FB4" w:rsidRPr="005B3890">
        <w:rPr>
          <w:b w:val="0"/>
          <w:bCs w:val="0"/>
        </w:rPr>
        <w:t>A</w:t>
      </w:r>
      <w:r w:rsidR="003B2813">
        <w:rPr>
          <w:b w:val="0"/>
          <w:bCs w:val="0"/>
        </w:rPr>
        <w:t>s a result</w:t>
      </w:r>
      <w:r w:rsidR="007E7FB4" w:rsidRPr="005B3890">
        <w:rPr>
          <w:b w:val="0"/>
          <w:bCs w:val="0"/>
        </w:rPr>
        <w:t>, the permittee will</w:t>
      </w:r>
      <w:r w:rsidR="003B2813">
        <w:rPr>
          <w:b w:val="0"/>
          <w:bCs w:val="0"/>
        </w:rPr>
        <w:t xml:space="preserve"> be required to</w:t>
      </w:r>
      <w:r w:rsidR="007E7FB4" w:rsidRPr="005B3890">
        <w:rPr>
          <w:b w:val="0"/>
          <w:bCs w:val="0"/>
        </w:rPr>
        <w:t xml:space="preserve"> calculate the monthly PM and PM</w:t>
      </w:r>
      <w:r w:rsidR="007E7FB4" w:rsidRPr="005B3890">
        <w:rPr>
          <w:b w:val="0"/>
          <w:bCs w:val="0"/>
          <w:vertAlign w:val="subscript"/>
        </w:rPr>
        <w:t>10</w:t>
      </w:r>
      <w:r w:rsidR="007E7FB4" w:rsidRPr="005B3890">
        <w:rPr>
          <w:b w:val="0"/>
          <w:bCs w:val="0"/>
        </w:rPr>
        <w:t xml:space="preserve"> emissions from</w:t>
      </w:r>
      <w:r w:rsidR="007E7FB4">
        <w:rPr>
          <w:b w:val="0"/>
          <w:bCs w:val="0"/>
        </w:rPr>
        <w:t xml:space="preserve"> the baghouses (Emission Points AA-001, </w:t>
      </w:r>
      <w:r w:rsidR="007E7FB4" w:rsidRPr="005B3890">
        <w:rPr>
          <w:b w:val="0"/>
          <w:bCs w:val="0"/>
        </w:rPr>
        <w:t>AA-002</w:t>
      </w:r>
      <w:r w:rsidR="007E7FB4">
        <w:rPr>
          <w:b w:val="0"/>
          <w:bCs w:val="0"/>
        </w:rPr>
        <w:t xml:space="preserve"> and AA-003).</w:t>
      </w:r>
    </w:p>
    <w:p w14:paraId="429BD6AD" w14:textId="77777777" w:rsidR="007E7FB4" w:rsidRPr="00817EE8" w:rsidRDefault="007E7FB4" w:rsidP="001D7E96">
      <w:pPr>
        <w:pStyle w:val="Title"/>
        <w:jc w:val="both"/>
        <w:rPr>
          <w:u w:val="single"/>
        </w:rPr>
      </w:pPr>
    </w:p>
    <w:p w14:paraId="6F879099" w14:textId="77777777" w:rsidR="001D7E96" w:rsidRDefault="001D7E96" w:rsidP="001D7E96">
      <w:pPr>
        <w:pStyle w:val="Title"/>
        <w:jc w:val="both"/>
        <w:rPr>
          <w:u w:val="single"/>
        </w:rPr>
      </w:pPr>
      <w:r w:rsidRPr="00817EE8">
        <w:rPr>
          <w:u w:val="single"/>
        </w:rPr>
        <w:t>EMISSION SUMMARY</w:t>
      </w:r>
    </w:p>
    <w:p w14:paraId="3EC3310C" w14:textId="77777777" w:rsidR="002A194E" w:rsidRDefault="002A194E" w:rsidP="002A194E">
      <w:pPr>
        <w:pStyle w:val="Title"/>
        <w:jc w:val="both"/>
      </w:pPr>
      <w:bookmarkStart w:id="0" w:name="_Hlk18586215"/>
    </w:p>
    <w:p w14:paraId="613D6FC0" w14:textId="77777777" w:rsidR="002A194E" w:rsidRPr="003B41F3" w:rsidRDefault="002A194E" w:rsidP="002A194E">
      <w:pPr>
        <w:pStyle w:val="Title"/>
        <w:jc w:val="both"/>
      </w:pPr>
      <w:r w:rsidRPr="003B41F3">
        <w:t xml:space="preserve">Table 1: Facility-Wide Emissions </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0"/>
        <w:gridCol w:w="720"/>
        <w:gridCol w:w="720"/>
        <w:gridCol w:w="720"/>
        <w:gridCol w:w="720"/>
        <w:gridCol w:w="720"/>
        <w:gridCol w:w="810"/>
        <w:gridCol w:w="810"/>
        <w:gridCol w:w="874"/>
        <w:gridCol w:w="990"/>
      </w:tblGrid>
      <w:tr w:rsidR="002A194E" w:rsidRPr="00DA2731" w14:paraId="79C9A898" w14:textId="77777777" w:rsidTr="00C97B8E">
        <w:trPr>
          <w:trHeight w:val="638"/>
          <w:jc w:val="center"/>
        </w:trPr>
        <w:tc>
          <w:tcPr>
            <w:tcW w:w="2245" w:type="dxa"/>
            <w:shd w:val="clear" w:color="auto" w:fill="BFBFBF"/>
            <w:vAlign w:val="center"/>
          </w:tcPr>
          <w:p w14:paraId="0CF50327" w14:textId="77777777" w:rsidR="002A194E" w:rsidRPr="00416BEC" w:rsidRDefault="002A194E" w:rsidP="00C97B8E">
            <w:pPr>
              <w:tabs>
                <w:tab w:val="left" w:pos="5220"/>
              </w:tabs>
              <w:jc w:val="center"/>
              <w:rPr>
                <w:b/>
                <w:sz w:val="20"/>
                <w:szCs w:val="20"/>
              </w:rPr>
            </w:pPr>
          </w:p>
        </w:tc>
        <w:tc>
          <w:tcPr>
            <w:tcW w:w="790" w:type="dxa"/>
            <w:shd w:val="clear" w:color="auto" w:fill="BFBFBF"/>
            <w:vAlign w:val="center"/>
          </w:tcPr>
          <w:p w14:paraId="2E869FF3" w14:textId="77777777" w:rsidR="002A194E" w:rsidRPr="00416BEC" w:rsidRDefault="002A194E" w:rsidP="00C97B8E">
            <w:pPr>
              <w:tabs>
                <w:tab w:val="left" w:pos="5220"/>
              </w:tabs>
              <w:jc w:val="center"/>
              <w:rPr>
                <w:b/>
                <w:sz w:val="20"/>
                <w:szCs w:val="20"/>
              </w:rPr>
            </w:pPr>
            <w:r w:rsidRPr="00416BEC">
              <w:rPr>
                <w:b/>
                <w:sz w:val="20"/>
                <w:szCs w:val="20"/>
              </w:rPr>
              <w:t>PM</w:t>
            </w:r>
          </w:p>
        </w:tc>
        <w:tc>
          <w:tcPr>
            <w:tcW w:w="720" w:type="dxa"/>
            <w:shd w:val="clear" w:color="auto" w:fill="BFBFBF"/>
            <w:vAlign w:val="center"/>
          </w:tcPr>
          <w:p w14:paraId="7DB2EA44" w14:textId="77777777" w:rsidR="002A194E" w:rsidRPr="00416BEC" w:rsidRDefault="002A194E" w:rsidP="00C97B8E">
            <w:pPr>
              <w:tabs>
                <w:tab w:val="left" w:pos="5220"/>
              </w:tabs>
              <w:jc w:val="center"/>
              <w:rPr>
                <w:b/>
                <w:sz w:val="20"/>
                <w:szCs w:val="20"/>
              </w:rPr>
            </w:pPr>
            <w:r w:rsidRPr="00416BEC">
              <w:rPr>
                <w:b/>
                <w:sz w:val="20"/>
                <w:szCs w:val="20"/>
              </w:rPr>
              <w:t>PM</w:t>
            </w:r>
            <w:r w:rsidRPr="00416BEC">
              <w:rPr>
                <w:b/>
                <w:sz w:val="20"/>
                <w:szCs w:val="20"/>
                <w:vertAlign w:val="subscript"/>
              </w:rPr>
              <w:t>10</w:t>
            </w:r>
          </w:p>
        </w:tc>
        <w:tc>
          <w:tcPr>
            <w:tcW w:w="720" w:type="dxa"/>
            <w:shd w:val="clear" w:color="auto" w:fill="BFBFBF"/>
            <w:vAlign w:val="center"/>
          </w:tcPr>
          <w:p w14:paraId="53D22D5C" w14:textId="77777777" w:rsidR="002A194E" w:rsidRPr="00416BEC" w:rsidRDefault="002A194E" w:rsidP="00C97B8E">
            <w:pPr>
              <w:tabs>
                <w:tab w:val="left" w:pos="5220"/>
              </w:tabs>
              <w:jc w:val="center"/>
              <w:rPr>
                <w:b/>
                <w:sz w:val="20"/>
                <w:szCs w:val="20"/>
              </w:rPr>
            </w:pPr>
            <w:r w:rsidRPr="00416BEC">
              <w:rPr>
                <w:b/>
                <w:sz w:val="20"/>
                <w:szCs w:val="20"/>
              </w:rPr>
              <w:t>PM</w:t>
            </w:r>
            <w:r w:rsidRPr="00416BEC">
              <w:rPr>
                <w:b/>
                <w:sz w:val="20"/>
                <w:szCs w:val="20"/>
                <w:vertAlign w:val="subscript"/>
              </w:rPr>
              <w:t>2.5</w:t>
            </w:r>
          </w:p>
        </w:tc>
        <w:tc>
          <w:tcPr>
            <w:tcW w:w="720" w:type="dxa"/>
            <w:shd w:val="clear" w:color="auto" w:fill="BFBFBF"/>
            <w:vAlign w:val="center"/>
          </w:tcPr>
          <w:p w14:paraId="41230999" w14:textId="77777777" w:rsidR="002A194E" w:rsidRPr="00416BEC" w:rsidRDefault="002A194E" w:rsidP="00C97B8E">
            <w:pPr>
              <w:tabs>
                <w:tab w:val="left" w:pos="5220"/>
              </w:tabs>
              <w:jc w:val="center"/>
              <w:rPr>
                <w:b/>
                <w:sz w:val="20"/>
                <w:szCs w:val="20"/>
              </w:rPr>
            </w:pPr>
            <w:r w:rsidRPr="00416BEC">
              <w:rPr>
                <w:b/>
                <w:sz w:val="20"/>
                <w:szCs w:val="20"/>
              </w:rPr>
              <w:t>SO</w:t>
            </w:r>
            <w:r w:rsidRPr="00416BEC">
              <w:rPr>
                <w:b/>
                <w:sz w:val="20"/>
                <w:szCs w:val="20"/>
                <w:vertAlign w:val="subscript"/>
              </w:rPr>
              <w:t>2</w:t>
            </w:r>
          </w:p>
        </w:tc>
        <w:tc>
          <w:tcPr>
            <w:tcW w:w="720" w:type="dxa"/>
            <w:shd w:val="clear" w:color="auto" w:fill="BFBFBF"/>
            <w:vAlign w:val="center"/>
          </w:tcPr>
          <w:p w14:paraId="783410FD" w14:textId="77777777" w:rsidR="002A194E" w:rsidRPr="00416BEC" w:rsidRDefault="002A194E" w:rsidP="00C97B8E">
            <w:pPr>
              <w:tabs>
                <w:tab w:val="left" w:pos="5220"/>
              </w:tabs>
              <w:jc w:val="center"/>
              <w:rPr>
                <w:b/>
                <w:sz w:val="20"/>
                <w:szCs w:val="20"/>
              </w:rPr>
            </w:pPr>
            <w:r w:rsidRPr="00416BEC">
              <w:rPr>
                <w:b/>
                <w:sz w:val="20"/>
                <w:szCs w:val="20"/>
              </w:rPr>
              <w:t>NO</w:t>
            </w:r>
            <w:r w:rsidRPr="00416BEC">
              <w:rPr>
                <w:b/>
                <w:sz w:val="20"/>
                <w:szCs w:val="20"/>
                <w:vertAlign w:val="subscript"/>
              </w:rPr>
              <w:t>X</w:t>
            </w:r>
          </w:p>
        </w:tc>
        <w:tc>
          <w:tcPr>
            <w:tcW w:w="720" w:type="dxa"/>
            <w:shd w:val="clear" w:color="auto" w:fill="BFBFBF"/>
            <w:vAlign w:val="center"/>
          </w:tcPr>
          <w:p w14:paraId="007CB506" w14:textId="77777777" w:rsidR="002A194E" w:rsidRPr="00416BEC" w:rsidRDefault="002A194E" w:rsidP="00C97B8E">
            <w:pPr>
              <w:tabs>
                <w:tab w:val="left" w:pos="5220"/>
              </w:tabs>
              <w:jc w:val="center"/>
              <w:rPr>
                <w:b/>
                <w:sz w:val="20"/>
                <w:szCs w:val="20"/>
              </w:rPr>
            </w:pPr>
            <w:r w:rsidRPr="00416BEC">
              <w:rPr>
                <w:b/>
                <w:sz w:val="20"/>
                <w:szCs w:val="20"/>
              </w:rPr>
              <w:t>CO</w:t>
            </w:r>
          </w:p>
        </w:tc>
        <w:tc>
          <w:tcPr>
            <w:tcW w:w="810" w:type="dxa"/>
            <w:shd w:val="clear" w:color="auto" w:fill="BFBFBF"/>
            <w:vAlign w:val="center"/>
          </w:tcPr>
          <w:p w14:paraId="4B394513" w14:textId="77777777" w:rsidR="002A194E" w:rsidRPr="00416BEC" w:rsidRDefault="002A194E" w:rsidP="00C97B8E">
            <w:pPr>
              <w:tabs>
                <w:tab w:val="left" w:pos="5220"/>
              </w:tabs>
              <w:jc w:val="center"/>
              <w:rPr>
                <w:b/>
                <w:sz w:val="20"/>
                <w:szCs w:val="20"/>
              </w:rPr>
            </w:pPr>
            <w:r w:rsidRPr="00416BEC">
              <w:rPr>
                <w:b/>
                <w:sz w:val="20"/>
                <w:szCs w:val="20"/>
              </w:rPr>
              <w:t>VOC</w:t>
            </w:r>
            <w:r w:rsidR="00A633F8">
              <w:rPr>
                <w:b/>
                <w:sz w:val="20"/>
                <w:szCs w:val="20"/>
              </w:rPr>
              <w:t>s</w:t>
            </w:r>
          </w:p>
        </w:tc>
        <w:tc>
          <w:tcPr>
            <w:tcW w:w="810" w:type="dxa"/>
            <w:shd w:val="clear" w:color="auto" w:fill="BFBFBF"/>
            <w:vAlign w:val="center"/>
          </w:tcPr>
          <w:p w14:paraId="6F1BD5F3" w14:textId="77777777" w:rsidR="002A194E" w:rsidRPr="00416BEC" w:rsidRDefault="002A194E" w:rsidP="00C97B8E">
            <w:pPr>
              <w:tabs>
                <w:tab w:val="left" w:pos="5220"/>
              </w:tabs>
              <w:jc w:val="center"/>
              <w:rPr>
                <w:b/>
                <w:sz w:val="20"/>
                <w:szCs w:val="20"/>
              </w:rPr>
            </w:pPr>
            <w:r w:rsidRPr="00416BEC">
              <w:rPr>
                <w:b/>
                <w:sz w:val="20"/>
                <w:szCs w:val="20"/>
              </w:rPr>
              <w:t>Lead</w:t>
            </w:r>
          </w:p>
        </w:tc>
        <w:tc>
          <w:tcPr>
            <w:tcW w:w="874" w:type="dxa"/>
            <w:shd w:val="clear" w:color="auto" w:fill="BFBFBF"/>
            <w:vAlign w:val="center"/>
          </w:tcPr>
          <w:p w14:paraId="19EBADBC" w14:textId="77777777" w:rsidR="002A194E" w:rsidRPr="00416BEC" w:rsidRDefault="002A194E" w:rsidP="00C97B8E">
            <w:pPr>
              <w:tabs>
                <w:tab w:val="left" w:pos="5220"/>
              </w:tabs>
              <w:jc w:val="center"/>
              <w:rPr>
                <w:b/>
                <w:sz w:val="20"/>
                <w:szCs w:val="20"/>
              </w:rPr>
            </w:pPr>
            <w:r>
              <w:rPr>
                <w:b/>
                <w:sz w:val="20"/>
                <w:szCs w:val="20"/>
              </w:rPr>
              <w:t>Ind. HAP</w:t>
            </w:r>
          </w:p>
        </w:tc>
        <w:tc>
          <w:tcPr>
            <w:tcW w:w="990" w:type="dxa"/>
            <w:shd w:val="clear" w:color="auto" w:fill="BFBFBF"/>
            <w:vAlign w:val="center"/>
          </w:tcPr>
          <w:p w14:paraId="0174D2DA" w14:textId="77777777" w:rsidR="002A194E" w:rsidRPr="00416BEC" w:rsidRDefault="002A194E" w:rsidP="00C97B8E">
            <w:pPr>
              <w:tabs>
                <w:tab w:val="left" w:pos="5220"/>
              </w:tabs>
              <w:jc w:val="center"/>
              <w:rPr>
                <w:b/>
                <w:sz w:val="20"/>
                <w:szCs w:val="20"/>
              </w:rPr>
            </w:pPr>
            <w:r w:rsidRPr="00416BEC">
              <w:rPr>
                <w:b/>
                <w:sz w:val="20"/>
                <w:szCs w:val="20"/>
              </w:rPr>
              <w:t>Total HAPs</w:t>
            </w:r>
          </w:p>
        </w:tc>
      </w:tr>
      <w:tr w:rsidR="002A194E" w:rsidRPr="00DA2731" w14:paraId="2EF69C1A" w14:textId="77777777" w:rsidTr="0008743B">
        <w:trPr>
          <w:trHeight w:val="593"/>
          <w:jc w:val="center"/>
        </w:trPr>
        <w:tc>
          <w:tcPr>
            <w:tcW w:w="2245" w:type="dxa"/>
            <w:vAlign w:val="center"/>
          </w:tcPr>
          <w:p w14:paraId="4855C049" w14:textId="77777777" w:rsidR="002A194E" w:rsidRPr="00416BEC" w:rsidRDefault="002A194E" w:rsidP="00C97B8E">
            <w:pPr>
              <w:tabs>
                <w:tab w:val="left" w:pos="5220"/>
              </w:tabs>
              <w:jc w:val="center"/>
              <w:rPr>
                <w:sz w:val="20"/>
                <w:szCs w:val="20"/>
              </w:rPr>
            </w:pPr>
            <w:r>
              <w:rPr>
                <w:sz w:val="20"/>
                <w:szCs w:val="20"/>
              </w:rPr>
              <w:t>Uncontrolled Potential</w:t>
            </w:r>
            <w:r w:rsidRPr="00416BEC">
              <w:rPr>
                <w:sz w:val="20"/>
                <w:szCs w:val="20"/>
              </w:rPr>
              <w:t xml:space="preserve"> Emissions (</w:t>
            </w:r>
            <w:proofErr w:type="spellStart"/>
            <w:r w:rsidRPr="00416BEC">
              <w:rPr>
                <w:sz w:val="20"/>
                <w:szCs w:val="20"/>
              </w:rPr>
              <w:t>tpy</w:t>
            </w:r>
            <w:proofErr w:type="spellEnd"/>
            <w:r w:rsidRPr="00416BEC">
              <w:rPr>
                <w:sz w:val="20"/>
                <w:szCs w:val="20"/>
              </w:rPr>
              <w:t>)</w:t>
            </w:r>
          </w:p>
        </w:tc>
        <w:tc>
          <w:tcPr>
            <w:tcW w:w="790" w:type="dxa"/>
            <w:vAlign w:val="center"/>
          </w:tcPr>
          <w:p w14:paraId="1CBE99A5" w14:textId="17BBDCDC" w:rsidR="002A194E" w:rsidRPr="0008743B" w:rsidRDefault="00BD401A" w:rsidP="001A50F2">
            <w:pPr>
              <w:tabs>
                <w:tab w:val="left" w:pos="5220"/>
              </w:tabs>
              <w:jc w:val="center"/>
              <w:rPr>
                <w:bCs/>
                <w:sz w:val="20"/>
                <w:szCs w:val="20"/>
              </w:rPr>
            </w:pPr>
            <w:r w:rsidRPr="0008743B">
              <w:rPr>
                <w:bCs/>
                <w:sz w:val="20"/>
                <w:szCs w:val="20"/>
              </w:rPr>
              <w:t>73.</w:t>
            </w:r>
            <w:r w:rsidR="00A86C01">
              <w:rPr>
                <w:bCs/>
                <w:sz w:val="20"/>
                <w:szCs w:val="20"/>
              </w:rPr>
              <w:t>8</w:t>
            </w:r>
          </w:p>
        </w:tc>
        <w:tc>
          <w:tcPr>
            <w:tcW w:w="720" w:type="dxa"/>
            <w:vAlign w:val="center"/>
          </w:tcPr>
          <w:p w14:paraId="571922B6" w14:textId="3D0BF2AE" w:rsidR="002A194E" w:rsidRPr="0008743B" w:rsidRDefault="00BD401A" w:rsidP="001A50F2">
            <w:pPr>
              <w:tabs>
                <w:tab w:val="left" w:pos="5220"/>
              </w:tabs>
              <w:jc w:val="center"/>
              <w:rPr>
                <w:bCs/>
                <w:sz w:val="20"/>
                <w:szCs w:val="20"/>
                <w:highlight w:val="yellow"/>
                <w:vertAlign w:val="superscript"/>
              </w:rPr>
            </w:pPr>
            <w:r w:rsidRPr="0008743B">
              <w:rPr>
                <w:bCs/>
                <w:sz w:val="20"/>
                <w:szCs w:val="20"/>
              </w:rPr>
              <w:t>73.</w:t>
            </w:r>
            <w:r w:rsidR="00A86C01">
              <w:rPr>
                <w:bCs/>
                <w:sz w:val="20"/>
                <w:szCs w:val="20"/>
              </w:rPr>
              <w:t>8</w:t>
            </w:r>
            <w:r w:rsidR="00A94E2F" w:rsidRPr="0008743B">
              <w:rPr>
                <w:bCs/>
                <w:sz w:val="20"/>
                <w:szCs w:val="20"/>
                <w:vertAlign w:val="superscript"/>
              </w:rPr>
              <w:t>1</w:t>
            </w:r>
          </w:p>
        </w:tc>
        <w:tc>
          <w:tcPr>
            <w:tcW w:w="720" w:type="dxa"/>
            <w:vAlign w:val="center"/>
          </w:tcPr>
          <w:p w14:paraId="7A557CCD" w14:textId="77777777" w:rsidR="002A194E" w:rsidRPr="00D3474A" w:rsidRDefault="00BD401A" w:rsidP="00C97B8E">
            <w:pPr>
              <w:tabs>
                <w:tab w:val="left" w:pos="5220"/>
              </w:tabs>
              <w:jc w:val="center"/>
              <w:rPr>
                <w:bCs/>
                <w:sz w:val="20"/>
                <w:szCs w:val="20"/>
              </w:rPr>
            </w:pPr>
            <w:r>
              <w:rPr>
                <w:bCs/>
                <w:sz w:val="20"/>
                <w:szCs w:val="20"/>
              </w:rPr>
              <w:t>-</w:t>
            </w:r>
          </w:p>
        </w:tc>
        <w:tc>
          <w:tcPr>
            <w:tcW w:w="720" w:type="dxa"/>
            <w:vAlign w:val="center"/>
          </w:tcPr>
          <w:p w14:paraId="3CA1B8C3" w14:textId="77777777" w:rsidR="002A194E" w:rsidRPr="00416BEC" w:rsidRDefault="00BE32F0" w:rsidP="00C97B8E">
            <w:pPr>
              <w:tabs>
                <w:tab w:val="left" w:pos="5220"/>
              </w:tabs>
              <w:jc w:val="center"/>
              <w:rPr>
                <w:bCs/>
                <w:sz w:val="20"/>
                <w:szCs w:val="20"/>
              </w:rPr>
            </w:pPr>
            <w:r>
              <w:rPr>
                <w:bCs/>
                <w:sz w:val="20"/>
                <w:szCs w:val="20"/>
              </w:rPr>
              <w:t>-</w:t>
            </w:r>
          </w:p>
        </w:tc>
        <w:tc>
          <w:tcPr>
            <w:tcW w:w="720" w:type="dxa"/>
            <w:shd w:val="clear" w:color="auto" w:fill="auto"/>
            <w:vAlign w:val="center"/>
          </w:tcPr>
          <w:p w14:paraId="2339E716" w14:textId="0E69D255" w:rsidR="002A194E" w:rsidRPr="0008743B" w:rsidRDefault="00A86C01" w:rsidP="00C97B8E">
            <w:pPr>
              <w:tabs>
                <w:tab w:val="left" w:pos="5220"/>
              </w:tabs>
              <w:jc w:val="center"/>
              <w:rPr>
                <w:bCs/>
                <w:sz w:val="20"/>
                <w:szCs w:val="20"/>
              </w:rPr>
            </w:pPr>
            <w:r>
              <w:rPr>
                <w:bCs/>
                <w:sz w:val="20"/>
                <w:szCs w:val="20"/>
              </w:rPr>
              <w:t>9.8</w:t>
            </w:r>
          </w:p>
        </w:tc>
        <w:tc>
          <w:tcPr>
            <w:tcW w:w="720" w:type="dxa"/>
            <w:shd w:val="clear" w:color="auto" w:fill="auto"/>
            <w:vAlign w:val="center"/>
          </w:tcPr>
          <w:p w14:paraId="7F62ED16" w14:textId="0CB6C78C" w:rsidR="002A194E" w:rsidRPr="0008743B" w:rsidRDefault="00A86C01" w:rsidP="00C97B8E">
            <w:pPr>
              <w:tabs>
                <w:tab w:val="left" w:pos="5220"/>
              </w:tabs>
              <w:jc w:val="center"/>
              <w:rPr>
                <w:bCs/>
                <w:sz w:val="20"/>
                <w:szCs w:val="20"/>
              </w:rPr>
            </w:pPr>
            <w:r>
              <w:rPr>
                <w:bCs/>
                <w:sz w:val="20"/>
                <w:szCs w:val="20"/>
              </w:rPr>
              <w:t>4.1</w:t>
            </w:r>
          </w:p>
        </w:tc>
        <w:tc>
          <w:tcPr>
            <w:tcW w:w="810" w:type="dxa"/>
            <w:shd w:val="clear" w:color="auto" w:fill="auto"/>
            <w:vAlign w:val="center"/>
          </w:tcPr>
          <w:p w14:paraId="112E6ABE" w14:textId="5B11EFF8" w:rsidR="002A194E" w:rsidRPr="0008743B" w:rsidRDefault="000E3B88" w:rsidP="00C97B8E">
            <w:pPr>
              <w:tabs>
                <w:tab w:val="left" w:pos="5220"/>
              </w:tabs>
              <w:jc w:val="center"/>
              <w:rPr>
                <w:bCs/>
                <w:sz w:val="20"/>
                <w:szCs w:val="20"/>
              </w:rPr>
            </w:pPr>
            <w:r w:rsidRPr="0008743B">
              <w:rPr>
                <w:bCs/>
                <w:sz w:val="20"/>
                <w:szCs w:val="20"/>
              </w:rPr>
              <w:t>0.</w:t>
            </w:r>
            <w:r w:rsidR="00A86C01">
              <w:rPr>
                <w:bCs/>
                <w:sz w:val="20"/>
                <w:szCs w:val="20"/>
              </w:rPr>
              <w:t>6</w:t>
            </w:r>
          </w:p>
        </w:tc>
        <w:tc>
          <w:tcPr>
            <w:tcW w:w="810" w:type="dxa"/>
            <w:vAlign w:val="center"/>
          </w:tcPr>
          <w:p w14:paraId="3CC1B757" w14:textId="77777777" w:rsidR="002A194E" w:rsidRPr="00416BEC" w:rsidRDefault="00BE32F0" w:rsidP="00C97B8E">
            <w:pPr>
              <w:tabs>
                <w:tab w:val="left" w:pos="5220"/>
              </w:tabs>
              <w:jc w:val="center"/>
              <w:rPr>
                <w:bCs/>
                <w:sz w:val="20"/>
                <w:szCs w:val="20"/>
              </w:rPr>
            </w:pPr>
            <w:r>
              <w:rPr>
                <w:bCs/>
                <w:sz w:val="20"/>
                <w:szCs w:val="20"/>
              </w:rPr>
              <w:t>-</w:t>
            </w:r>
          </w:p>
        </w:tc>
        <w:tc>
          <w:tcPr>
            <w:tcW w:w="874" w:type="dxa"/>
            <w:vAlign w:val="center"/>
          </w:tcPr>
          <w:p w14:paraId="6EA366E9" w14:textId="77777777" w:rsidR="002A194E" w:rsidRDefault="00BE32F0" w:rsidP="00C97B8E">
            <w:pPr>
              <w:tabs>
                <w:tab w:val="left" w:pos="5220"/>
              </w:tabs>
              <w:jc w:val="center"/>
              <w:rPr>
                <w:bCs/>
                <w:sz w:val="20"/>
                <w:szCs w:val="20"/>
              </w:rPr>
            </w:pPr>
            <w:r>
              <w:rPr>
                <w:bCs/>
                <w:sz w:val="20"/>
                <w:szCs w:val="20"/>
              </w:rPr>
              <w:t>-</w:t>
            </w:r>
          </w:p>
        </w:tc>
        <w:tc>
          <w:tcPr>
            <w:tcW w:w="990" w:type="dxa"/>
            <w:vAlign w:val="center"/>
          </w:tcPr>
          <w:p w14:paraId="0DAFDE7A" w14:textId="77777777" w:rsidR="002A194E" w:rsidRPr="00416BEC" w:rsidRDefault="00BE32F0" w:rsidP="00C97B8E">
            <w:pPr>
              <w:tabs>
                <w:tab w:val="left" w:pos="5220"/>
              </w:tabs>
              <w:jc w:val="center"/>
              <w:rPr>
                <w:bCs/>
                <w:sz w:val="20"/>
                <w:szCs w:val="20"/>
              </w:rPr>
            </w:pPr>
            <w:r>
              <w:rPr>
                <w:bCs/>
                <w:sz w:val="20"/>
                <w:szCs w:val="20"/>
              </w:rPr>
              <w:t>-</w:t>
            </w:r>
          </w:p>
        </w:tc>
      </w:tr>
      <w:tr w:rsidR="002A194E" w:rsidRPr="00DA2731" w14:paraId="65D8945A" w14:textId="77777777" w:rsidTr="00C97B8E">
        <w:trPr>
          <w:trHeight w:val="620"/>
          <w:jc w:val="center"/>
        </w:trPr>
        <w:tc>
          <w:tcPr>
            <w:tcW w:w="2245" w:type="dxa"/>
            <w:vAlign w:val="center"/>
          </w:tcPr>
          <w:p w14:paraId="45CF6A9C" w14:textId="77777777" w:rsidR="002A194E" w:rsidRPr="00416BEC" w:rsidRDefault="002A194E" w:rsidP="00C97B8E">
            <w:pPr>
              <w:tabs>
                <w:tab w:val="left" w:pos="5220"/>
              </w:tabs>
              <w:jc w:val="center"/>
              <w:rPr>
                <w:sz w:val="20"/>
                <w:szCs w:val="20"/>
              </w:rPr>
            </w:pPr>
            <w:r w:rsidRPr="00416BEC">
              <w:rPr>
                <w:sz w:val="20"/>
                <w:szCs w:val="20"/>
              </w:rPr>
              <w:t>Emission Limitations (</w:t>
            </w:r>
            <w:proofErr w:type="spellStart"/>
            <w:r w:rsidRPr="00416BEC">
              <w:rPr>
                <w:sz w:val="20"/>
                <w:szCs w:val="20"/>
              </w:rPr>
              <w:t>tpy</w:t>
            </w:r>
            <w:proofErr w:type="spellEnd"/>
            <w:r w:rsidRPr="00416BEC">
              <w:rPr>
                <w:sz w:val="20"/>
                <w:szCs w:val="20"/>
              </w:rPr>
              <w:t>)</w:t>
            </w:r>
          </w:p>
        </w:tc>
        <w:tc>
          <w:tcPr>
            <w:tcW w:w="790" w:type="dxa"/>
            <w:vAlign w:val="center"/>
          </w:tcPr>
          <w:p w14:paraId="4139C25B" w14:textId="78CE1B10" w:rsidR="002A194E" w:rsidRPr="001F5B87" w:rsidRDefault="002A194E" w:rsidP="00C97B8E">
            <w:pPr>
              <w:tabs>
                <w:tab w:val="left" w:pos="5220"/>
              </w:tabs>
              <w:jc w:val="center"/>
              <w:rPr>
                <w:sz w:val="20"/>
                <w:szCs w:val="20"/>
                <w:vertAlign w:val="superscript"/>
              </w:rPr>
            </w:pPr>
          </w:p>
        </w:tc>
        <w:tc>
          <w:tcPr>
            <w:tcW w:w="720" w:type="dxa"/>
            <w:vAlign w:val="center"/>
          </w:tcPr>
          <w:p w14:paraId="5FE1F52C" w14:textId="77777777" w:rsidR="002A194E" w:rsidRPr="001F5B87" w:rsidRDefault="002A194E" w:rsidP="00C97B8E">
            <w:pPr>
              <w:tabs>
                <w:tab w:val="left" w:pos="5220"/>
              </w:tabs>
              <w:jc w:val="center"/>
              <w:rPr>
                <w:sz w:val="20"/>
                <w:szCs w:val="20"/>
              </w:rPr>
            </w:pPr>
            <w:r>
              <w:rPr>
                <w:sz w:val="20"/>
                <w:szCs w:val="20"/>
              </w:rPr>
              <w:t>99.0</w:t>
            </w:r>
            <w:r w:rsidR="00A94E2F">
              <w:rPr>
                <w:sz w:val="20"/>
                <w:szCs w:val="20"/>
                <w:vertAlign w:val="superscript"/>
              </w:rPr>
              <w:t>2</w:t>
            </w:r>
          </w:p>
        </w:tc>
        <w:tc>
          <w:tcPr>
            <w:tcW w:w="720" w:type="dxa"/>
            <w:vAlign w:val="center"/>
          </w:tcPr>
          <w:p w14:paraId="7A878A33" w14:textId="77777777" w:rsidR="002A194E" w:rsidRPr="00A56437" w:rsidRDefault="002A194E" w:rsidP="00C97B8E">
            <w:pPr>
              <w:tabs>
                <w:tab w:val="left" w:pos="5220"/>
              </w:tabs>
              <w:jc w:val="center"/>
              <w:rPr>
                <w:sz w:val="20"/>
                <w:szCs w:val="20"/>
              </w:rPr>
            </w:pPr>
          </w:p>
        </w:tc>
        <w:tc>
          <w:tcPr>
            <w:tcW w:w="720" w:type="dxa"/>
            <w:vAlign w:val="center"/>
          </w:tcPr>
          <w:p w14:paraId="3CCDB1FA" w14:textId="77777777" w:rsidR="002A194E" w:rsidRPr="00A56437" w:rsidRDefault="002A194E" w:rsidP="00C97B8E">
            <w:pPr>
              <w:tabs>
                <w:tab w:val="left" w:pos="5220"/>
              </w:tabs>
              <w:jc w:val="center"/>
              <w:rPr>
                <w:sz w:val="20"/>
                <w:szCs w:val="20"/>
              </w:rPr>
            </w:pPr>
          </w:p>
        </w:tc>
        <w:tc>
          <w:tcPr>
            <w:tcW w:w="720" w:type="dxa"/>
            <w:vAlign w:val="center"/>
          </w:tcPr>
          <w:p w14:paraId="3A318994" w14:textId="77777777" w:rsidR="002A194E" w:rsidRPr="00A56437" w:rsidRDefault="002A194E" w:rsidP="00C97B8E">
            <w:pPr>
              <w:tabs>
                <w:tab w:val="left" w:pos="5220"/>
              </w:tabs>
              <w:jc w:val="center"/>
              <w:rPr>
                <w:sz w:val="20"/>
                <w:szCs w:val="20"/>
              </w:rPr>
            </w:pPr>
          </w:p>
        </w:tc>
        <w:tc>
          <w:tcPr>
            <w:tcW w:w="720" w:type="dxa"/>
            <w:vAlign w:val="center"/>
          </w:tcPr>
          <w:p w14:paraId="1977D0BA" w14:textId="77777777" w:rsidR="002A194E" w:rsidRPr="00A56437" w:rsidRDefault="002A194E" w:rsidP="00C97B8E">
            <w:pPr>
              <w:tabs>
                <w:tab w:val="left" w:pos="5220"/>
              </w:tabs>
              <w:jc w:val="center"/>
              <w:rPr>
                <w:sz w:val="20"/>
                <w:szCs w:val="20"/>
              </w:rPr>
            </w:pPr>
          </w:p>
        </w:tc>
        <w:tc>
          <w:tcPr>
            <w:tcW w:w="810" w:type="dxa"/>
            <w:vAlign w:val="center"/>
          </w:tcPr>
          <w:p w14:paraId="248F40DF" w14:textId="77777777" w:rsidR="002A194E" w:rsidRPr="001F5B87" w:rsidRDefault="002A194E" w:rsidP="00C97B8E">
            <w:pPr>
              <w:tabs>
                <w:tab w:val="left" w:pos="5220"/>
              </w:tabs>
              <w:jc w:val="center"/>
              <w:rPr>
                <w:bCs/>
                <w:sz w:val="20"/>
                <w:szCs w:val="20"/>
              </w:rPr>
            </w:pPr>
          </w:p>
        </w:tc>
        <w:tc>
          <w:tcPr>
            <w:tcW w:w="810" w:type="dxa"/>
            <w:vAlign w:val="center"/>
          </w:tcPr>
          <w:p w14:paraId="26B86190" w14:textId="77777777" w:rsidR="002A194E" w:rsidRPr="00A56437" w:rsidRDefault="002A194E" w:rsidP="00C97B8E">
            <w:pPr>
              <w:tabs>
                <w:tab w:val="left" w:pos="5220"/>
              </w:tabs>
              <w:jc w:val="center"/>
              <w:rPr>
                <w:sz w:val="20"/>
                <w:szCs w:val="20"/>
              </w:rPr>
            </w:pPr>
          </w:p>
        </w:tc>
        <w:tc>
          <w:tcPr>
            <w:tcW w:w="874" w:type="dxa"/>
            <w:vAlign w:val="center"/>
          </w:tcPr>
          <w:p w14:paraId="0A838DC9" w14:textId="77777777" w:rsidR="002A194E" w:rsidRPr="001F5B87" w:rsidRDefault="002A194E" w:rsidP="00C97B8E">
            <w:pPr>
              <w:tabs>
                <w:tab w:val="left" w:pos="5220"/>
              </w:tabs>
              <w:jc w:val="center"/>
              <w:rPr>
                <w:sz w:val="20"/>
                <w:szCs w:val="20"/>
              </w:rPr>
            </w:pPr>
          </w:p>
        </w:tc>
        <w:tc>
          <w:tcPr>
            <w:tcW w:w="990" w:type="dxa"/>
            <w:vAlign w:val="center"/>
          </w:tcPr>
          <w:p w14:paraId="73E2FB88" w14:textId="77777777" w:rsidR="002A194E" w:rsidRPr="001F5B87" w:rsidRDefault="002A194E" w:rsidP="00C97B8E">
            <w:pPr>
              <w:tabs>
                <w:tab w:val="left" w:pos="5220"/>
              </w:tabs>
              <w:jc w:val="center"/>
              <w:rPr>
                <w:sz w:val="20"/>
                <w:szCs w:val="20"/>
                <w:vertAlign w:val="superscript"/>
              </w:rPr>
            </w:pPr>
          </w:p>
        </w:tc>
      </w:tr>
    </w:tbl>
    <w:bookmarkEnd w:id="0"/>
    <w:p w14:paraId="40C03BF4" w14:textId="77777777" w:rsidR="00A94E2F" w:rsidRPr="00A633F8" w:rsidRDefault="00A94E2F" w:rsidP="00A36FC5">
      <w:pPr>
        <w:pStyle w:val="Title"/>
        <w:numPr>
          <w:ilvl w:val="0"/>
          <w:numId w:val="11"/>
        </w:numPr>
        <w:tabs>
          <w:tab w:val="left" w:pos="0"/>
        </w:tabs>
        <w:ind w:left="540" w:hanging="180"/>
        <w:jc w:val="both"/>
        <w:rPr>
          <w:b w:val="0"/>
          <w:bCs w:val="0"/>
          <w:sz w:val="22"/>
          <w:szCs w:val="22"/>
        </w:rPr>
      </w:pPr>
      <w:r w:rsidRPr="00A633F8">
        <w:rPr>
          <w:b w:val="0"/>
          <w:bCs w:val="0"/>
          <w:sz w:val="22"/>
          <w:szCs w:val="22"/>
        </w:rPr>
        <w:t>The MDEQ assumed the facility’s uncontrolled potential-to-emit PM</w:t>
      </w:r>
      <w:r w:rsidRPr="00A633F8">
        <w:rPr>
          <w:b w:val="0"/>
          <w:bCs w:val="0"/>
          <w:sz w:val="22"/>
          <w:szCs w:val="22"/>
          <w:vertAlign w:val="subscript"/>
        </w:rPr>
        <w:t>10</w:t>
      </w:r>
      <w:r w:rsidRPr="00A633F8">
        <w:rPr>
          <w:b w:val="0"/>
          <w:bCs w:val="0"/>
          <w:sz w:val="22"/>
          <w:szCs w:val="22"/>
        </w:rPr>
        <w:t xml:space="preserve"> is equal to PM.</w:t>
      </w:r>
    </w:p>
    <w:p w14:paraId="29C8D1C4" w14:textId="77777777" w:rsidR="009B43DC" w:rsidRDefault="009B43DC" w:rsidP="009B43DC">
      <w:pPr>
        <w:pStyle w:val="Title"/>
        <w:tabs>
          <w:tab w:val="left" w:pos="0"/>
        </w:tabs>
        <w:ind w:left="720"/>
        <w:jc w:val="both"/>
        <w:rPr>
          <w:b w:val="0"/>
          <w:bCs w:val="0"/>
        </w:rPr>
      </w:pPr>
    </w:p>
    <w:p w14:paraId="182402AE" w14:textId="75358F25" w:rsidR="00F25ECB" w:rsidRDefault="00555B1F" w:rsidP="00A36FC5">
      <w:pPr>
        <w:pStyle w:val="Title"/>
        <w:numPr>
          <w:ilvl w:val="0"/>
          <w:numId w:val="11"/>
        </w:numPr>
        <w:tabs>
          <w:tab w:val="left" w:pos="540"/>
        </w:tabs>
        <w:ind w:left="540" w:hanging="180"/>
        <w:jc w:val="both"/>
        <w:rPr>
          <w:b w:val="0"/>
          <w:bCs w:val="0"/>
          <w:sz w:val="22"/>
          <w:szCs w:val="22"/>
        </w:rPr>
      </w:pPr>
      <w:r w:rsidRPr="00F25ECB">
        <w:rPr>
          <w:b w:val="0"/>
          <w:bCs w:val="0"/>
          <w:sz w:val="22"/>
          <w:szCs w:val="22"/>
        </w:rPr>
        <w:t xml:space="preserve">The </w:t>
      </w:r>
      <w:r w:rsidR="00817EE8" w:rsidRPr="00F25ECB">
        <w:rPr>
          <w:b w:val="0"/>
          <w:bCs w:val="0"/>
          <w:sz w:val="22"/>
          <w:szCs w:val="22"/>
        </w:rPr>
        <w:t xml:space="preserve">facility’s </w:t>
      </w:r>
      <w:r w:rsidRPr="00F25ECB">
        <w:rPr>
          <w:b w:val="0"/>
          <w:bCs w:val="0"/>
          <w:sz w:val="22"/>
          <w:szCs w:val="22"/>
        </w:rPr>
        <w:t xml:space="preserve">current </w:t>
      </w:r>
      <w:r w:rsidR="00817EE8" w:rsidRPr="00F25ECB">
        <w:rPr>
          <w:b w:val="0"/>
          <w:bCs w:val="0"/>
          <w:sz w:val="22"/>
          <w:szCs w:val="22"/>
        </w:rPr>
        <w:t xml:space="preserve">uncontrolled potential emissions are </w:t>
      </w:r>
      <w:r w:rsidR="00903A0A">
        <w:rPr>
          <w:b w:val="0"/>
          <w:bCs w:val="0"/>
          <w:sz w:val="22"/>
          <w:szCs w:val="22"/>
        </w:rPr>
        <w:t>less than</w:t>
      </w:r>
      <w:r w:rsidR="00903A0A" w:rsidRPr="00F25ECB">
        <w:rPr>
          <w:b w:val="0"/>
          <w:bCs w:val="0"/>
          <w:sz w:val="22"/>
          <w:szCs w:val="22"/>
        </w:rPr>
        <w:t xml:space="preserve"> </w:t>
      </w:r>
      <w:r w:rsidR="00817EE8" w:rsidRPr="00F25ECB">
        <w:rPr>
          <w:b w:val="0"/>
          <w:bCs w:val="0"/>
          <w:sz w:val="22"/>
          <w:szCs w:val="22"/>
        </w:rPr>
        <w:t xml:space="preserve">the applicable threshold of 100 </w:t>
      </w:r>
      <w:r w:rsidR="00755E47">
        <w:rPr>
          <w:b w:val="0"/>
          <w:bCs w:val="0"/>
          <w:sz w:val="22"/>
          <w:szCs w:val="22"/>
        </w:rPr>
        <w:t>tons per year (</w:t>
      </w:r>
      <w:proofErr w:type="spellStart"/>
      <w:r w:rsidR="00817EE8" w:rsidRPr="00F25ECB">
        <w:rPr>
          <w:b w:val="0"/>
          <w:bCs w:val="0"/>
          <w:sz w:val="22"/>
          <w:szCs w:val="22"/>
        </w:rPr>
        <w:t>tpy</w:t>
      </w:r>
      <w:proofErr w:type="spellEnd"/>
      <w:r w:rsidR="00755E47">
        <w:rPr>
          <w:b w:val="0"/>
          <w:bCs w:val="0"/>
          <w:sz w:val="22"/>
          <w:szCs w:val="22"/>
        </w:rPr>
        <w:t>)</w:t>
      </w:r>
      <w:r w:rsidR="00817EE8" w:rsidRPr="00F25ECB">
        <w:rPr>
          <w:b w:val="0"/>
          <w:bCs w:val="0"/>
          <w:sz w:val="22"/>
          <w:szCs w:val="22"/>
        </w:rPr>
        <w:t xml:space="preserve"> for PM</w:t>
      </w:r>
      <w:r w:rsidR="00817EE8" w:rsidRPr="00F25ECB">
        <w:rPr>
          <w:b w:val="0"/>
          <w:bCs w:val="0"/>
          <w:sz w:val="22"/>
          <w:szCs w:val="22"/>
          <w:vertAlign w:val="subscript"/>
        </w:rPr>
        <w:t>10</w:t>
      </w:r>
      <w:r w:rsidRPr="00F25ECB">
        <w:rPr>
          <w:b w:val="0"/>
          <w:bCs w:val="0"/>
          <w:sz w:val="22"/>
          <w:szCs w:val="22"/>
        </w:rPr>
        <w:t xml:space="preserve">. </w:t>
      </w:r>
      <w:r w:rsidR="00903A0A">
        <w:rPr>
          <w:b w:val="0"/>
          <w:bCs w:val="0"/>
          <w:sz w:val="22"/>
          <w:szCs w:val="22"/>
        </w:rPr>
        <w:t xml:space="preserve"> </w:t>
      </w:r>
      <w:r w:rsidRPr="00F25ECB">
        <w:rPr>
          <w:b w:val="0"/>
          <w:bCs w:val="0"/>
          <w:sz w:val="22"/>
          <w:szCs w:val="22"/>
        </w:rPr>
        <w:t xml:space="preserve">However, these </w:t>
      </w:r>
      <w:r w:rsidR="00A94E2F">
        <w:rPr>
          <w:b w:val="0"/>
          <w:bCs w:val="0"/>
          <w:sz w:val="22"/>
          <w:szCs w:val="22"/>
        </w:rPr>
        <w:t xml:space="preserve">emissions </w:t>
      </w:r>
      <w:r w:rsidRPr="00F25ECB">
        <w:rPr>
          <w:b w:val="0"/>
          <w:bCs w:val="0"/>
          <w:sz w:val="22"/>
          <w:szCs w:val="22"/>
        </w:rPr>
        <w:t>may vary based on the facility’s material throughput</w:t>
      </w:r>
      <w:r w:rsidR="00A94E2F">
        <w:rPr>
          <w:b w:val="0"/>
          <w:bCs w:val="0"/>
          <w:sz w:val="22"/>
          <w:szCs w:val="22"/>
        </w:rPr>
        <w:t>, production</w:t>
      </w:r>
      <w:r w:rsidRPr="00F25ECB">
        <w:rPr>
          <w:b w:val="0"/>
          <w:bCs w:val="0"/>
          <w:sz w:val="22"/>
          <w:szCs w:val="22"/>
        </w:rPr>
        <w:t xml:space="preserve"> and engineering assumptions. </w:t>
      </w:r>
      <w:r w:rsidR="00903A0A">
        <w:rPr>
          <w:b w:val="0"/>
          <w:bCs w:val="0"/>
          <w:sz w:val="22"/>
          <w:szCs w:val="22"/>
        </w:rPr>
        <w:t xml:space="preserve"> </w:t>
      </w:r>
      <w:r w:rsidR="00F25ECB" w:rsidRPr="00F25ECB">
        <w:rPr>
          <w:b w:val="0"/>
          <w:bCs w:val="0"/>
          <w:sz w:val="22"/>
          <w:szCs w:val="22"/>
        </w:rPr>
        <w:t>Therefore, t</w:t>
      </w:r>
      <w:r w:rsidR="002A194E" w:rsidRPr="00F25ECB">
        <w:rPr>
          <w:b w:val="0"/>
          <w:bCs w:val="0"/>
          <w:sz w:val="22"/>
          <w:szCs w:val="22"/>
        </w:rPr>
        <w:t xml:space="preserve">he facility will </w:t>
      </w:r>
      <w:r w:rsidR="00F25ECB" w:rsidRPr="00F25ECB">
        <w:rPr>
          <w:b w:val="0"/>
          <w:bCs w:val="0"/>
          <w:sz w:val="22"/>
          <w:szCs w:val="22"/>
        </w:rPr>
        <w:t>operate</w:t>
      </w:r>
      <w:r w:rsidR="002A194E" w:rsidRPr="00F25ECB">
        <w:rPr>
          <w:b w:val="0"/>
          <w:bCs w:val="0"/>
          <w:sz w:val="22"/>
          <w:szCs w:val="22"/>
        </w:rPr>
        <w:t xml:space="preserve"> the air emission control equipment while the process equipment is in operation </w:t>
      </w:r>
      <w:r w:rsidR="00264654">
        <w:rPr>
          <w:b w:val="0"/>
          <w:bCs w:val="0"/>
          <w:sz w:val="22"/>
          <w:szCs w:val="22"/>
        </w:rPr>
        <w:t xml:space="preserve">and </w:t>
      </w:r>
      <w:r w:rsidR="00F25ECB" w:rsidRPr="006C7A26">
        <w:rPr>
          <w:b w:val="0"/>
          <w:bCs w:val="0"/>
          <w:sz w:val="22"/>
          <w:szCs w:val="22"/>
        </w:rPr>
        <w:t xml:space="preserve">track </w:t>
      </w:r>
      <w:r w:rsidR="00F25ECB">
        <w:rPr>
          <w:b w:val="0"/>
          <w:bCs w:val="0"/>
          <w:sz w:val="22"/>
          <w:szCs w:val="22"/>
        </w:rPr>
        <w:t>PM and PM</w:t>
      </w:r>
      <w:r w:rsidR="00F25ECB">
        <w:rPr>
          <w:b w:val="0"/>
          <w:bCs w:val="0"/>
          <w:sz w:val="22"/>
          <w:szCs w:val="22"/>
          <w:vertAlign w:val="subscript"/>
        </w:rPr>
        <w:t>10</w:t>
      </w:r>
      <w:r w:rsidR="00F25ECB" w:rsidRPr="006C7A26">
        <w:rPr>
          <w:b w:val="0"/>
          <w:bCs w:val="0"/>
          <w:sz w:val="22"/>
          <w:szCs w:val="22"/>
        </w:rPr>
        <w:t xml:space="preserve"> emissions to ensure that a synthetic minor status is maintained.</w:t>
      </w:r>
    </w:p>
    <w:p w14:paraId="388782B6" w14:textId="77777777" w:rsidR="009C4544" w:rsidRDefault="009C4544" w:rsidP="009C4544">
      <w:pPr>
        <w:pStyle w:val="Title"/>
        <w:tabs>
          <w:tab w:val="left" w:pos="90"/>
        </w:tabs>
        <w:ind w:left="720"/>
        <w:jc w:val="both"/>
        <w:rPr>
          <w:b w:val="0"/>
          <w:bCs w:val="0"/>
          <w:sz w:val="22"/>
          <w:szCs w:val="22"/>
        </w:rPr>
      </w:pPr>
    </w:p>
    <w:p w14:paraId="41AE4E1E" w14:textId="77777777" w:rsidR="001D7E96" w:rsidRDefault="001D7E96" w:rsidP="001D7E96">
      <w:pPr>
        <w:pStyle w:val="Title"/>
        <w:jc w:val="left"/>
        <w:rPr>
          <w:u w:val="single"/>
        </w:rPr>
      </w:pPr>
      <w:r w:rsidRPr="00A94E2F">
        <w:rPr>
          <w:rFonts w:ascii="Tms Rmn" w:hAnsi="Tms Rmn" w:cs="Tms Rmn"/>
          <w:color w:val="000000"/>
          <w:u w:val="single"/>
        </w:rPr>
        <w:t>APPLICABLE/PROPOSED PERMIT LIMITATIONS</w:t>
      </w:r>
    </w:p>
    <w:p w14:paraId="56F7B21C" w14:textId="77777777" w:rsidR="001D7E96" w:rsidRDefault="001D7E96" w:rsidP="001D7E96">
      <w:pPr>
        <w:pStyle w:val="Title"/>
        <w:jc w:val="both"/>
        <w:rPr>
          <w:b w:val="0"/>
          <w:bCs w:val="0"/>
          <w:u w:val="single"/>
        </w:rPr>
      </w:pPr>
    </w:p>
    <w:p w14:paraId="7FB86690" w14:textId="44D60F9D" w:rsidR="002A194E" w:rsidRPr="00D10A16" w:rsidRDefault="00A94E2F" w:rsidP="002A194E">
      <w:pPr>
        <w:pStyle w:val="Title"/>
        <w:jc w:val="both"/>
        <w:rPr>
          <w:b w:val="0"/>
          <w:bCs w:val="0"/>
        </w:rPr>
      </w:pPr>
      <w:r w:rsidRPr="00903A0A">
        <w:rPr>
          <w:b w:val="0"/>
        </w:rPr>
        <w:t>Although, t</w:t>
      </w:r>
      <w:r w:rsidR="00A12DB5" w:rsidRPr="00903A0A">
        <w:rPr>
          <w:b w:val="0"/>
        </w:rPr>
        <w:t xml:space="preserve">he facility’s uncontrolled potential-to-emit </w:t>
      </w:r>
      <w:r w:rsidR="002A194E" w:rsidRPr="00903A0A">
        <w:rPr>
          <w:b w:val="0"/>
          <w:bCs w:val="0"/>
        </w:rPr>
        <w:t>PM</w:t>
      </w:r>
      <w:r w:rsidR="002A194E" w:rsidRPr="00903A0A">
        <w:rPr>
          <w:b w:val="0"/>
          <w:bCs w:val="0"/>
          <w:vertAlign w:val="subscript"/>
        </w:rPr>
        <w:t>10</w:t>
      </w:r>
      <w:r w:rsidR="00A12DB5" w:rsidRPr="00903A0A">
        <w:rPr>
          <w:b w:val="0"/>
          <w:bCs w:val="0"/>
        </w:rPr>
        <w:t xml:space="preserve"> is</w:t>
      </w:r>
      <w:r w:rsidR="009303C2" w:rsidRPr="00903A0A">
        <w:rPr>
          <w:b w:val="0"/>
          <w:bCs w:val="0"/>
        </w:rPr>
        <w:t xml:space="preserve"> </w:t>
      </w:r>
      <w:r w:rsidRPr="00903A0A">
        <w:rPr>
          <w:b w:val="0"/>
          <w:bCs w:val="0"/>
        </w:rPr>
        <w:t>less than</w:t>
      </w:r>
      <w:r w:rsidR="002A194E" w:rsidRPr="00903A0A">
        <w:rPr>
          <w:b w:val="0"/>
          <w:bCs w:val="0"/>
        </w:rPr>
        <w:t xml:space="preserve"> the applicable Title V major source thr</w:t>
      </w:r>
      <w:r w:rsidR="00A12DB5" w:rsidRPr="00903A0A">
        <w:rPr>
          <w:b w:val="0"/>
          <w:bCs w:val="0"/>
        </w:rPr>
        <w:t xml:space="preserve">eshold of </w:t>
      </w:r>
      <w:r w:rsidRPr="00903A0A">
        <w:rPr>
          <w:b w:val="0"/>
          <w:bCs w:val="0"/>
        </w:rPr>
        <w:t xml:space="preserve">100 </w:t>
      </w:r>
      <w:proofErr w:type="spellStart"/>
      <w:r w:rsidRPr="00903A0A">
        <w:rPr>
          <w:b w:val="0"/>
          <w:bCs w:val="0"/>
        </w:rPr>
        <w:t>tpy</w:t>
      </w:r>
      <w:proofErr w:type="spellEnd"/>
      <w:r w:rsidRPr="00903A0A">
        <w:rPr>
          <w:b w:val="0"/>
          <w:bCs w:val="0"/>
        </w:rPr>
        <w:t>,</w:t>
      </w:r>
      <w:r w:rsidRPr="00903A0A">
        <w:rPr>
          <w:b w:val="0"/>
        </w:rPr>
        <w:t xml:space="preserve"> it </w:t>
      </w:r>
      <w:r w:rsidR="00750EDD">
        <w:rPr>
          <w:b w:val="0"/>
        </w:rPr>
        <w:t xml:space="preserve">may change </w:t>
      </w:r>
      <w:r w:rsidRPr="00903A0A">
        <w:rPr>
          <w:b w:val="0"/>
        </w:rPr>
        <w:t>based on the facility’s material throughput, production</w:t>
      </w:r>
      <w:r w:rsidR="00426231">
        <w:rPr>
          <w:b w:val="0"/>
        </w:rPr>
        <w:t xml:space="preserve"> capabilities,</w:t>
      </w:r>
      <w:r w:rsidRPr="00903A0A">
        <w:rPr>
          <w:b w:val="0"/>
          <w:bCs w:val="0"/>
        </w:rPr>
        <w:t xml:space="preserve"> and engineering assumptions</w:t>
      </w:r>
      <w:r w:rsidRPr="00903A0A">
        <w:rPr>
          <w:b w:val="0"/>
        </w:rPr>
        <w:t xml:space="preserve">. </w:t>
      </w:r>
      <w:r w:rsidR="002A194E" w:rsidRPr="00903A0A">
        <w:rPr>
          <w:b w:val="0"/>
          <w:bCs w:val="0"/>
        </w:rPr>
        <w:t xml:space="preserve">Therefore, in order to </w:t>
      </w:r>
      <w:r w:rsidRPr="00903A0A">
        <w:rPr>
          <w:b w:val="0"/>
          <w:bCs w:val="0"/>
        </w:rPr>
        <w:t>ensure</w:t>
      </w:r>
      <w:r w:rsidR="002A194E" w:rsidRPr="00903A0A">
        <w:rPr>
          <w:b w:val="0"/>
          <w:bCs w:val="0"/>
        </w:rPr>
        <w:t xml:space="preserve"> </w:t>
      </w:r>
      <w:r w:rsidR="00426231">
        <w:rPr>
          <w:b w:val="0"/>
          <w:bCs w:val="0"/>
        </w:rPr>
        <w:t xml:space="preserve">its </w:t>
      </w:r>
      <w:r w:rsidR="002A194E" w:rsidRPr="00903A0A">
        <w:rPr>
          <w:b w:val="0"/>
          <w:bCs w:val="0"/>
        </w:rPr>
        <w:t xml:space="preserve">synthetic minor </w:t>
      </w:r>
      <w:r w:rsidRPr="00903A0A">
        <w:rPr>
          <w:b w:val="0"/>
          <w:bCs w:val="0"/>
        </w:rPr>
        <w:t>status</w:t>
      </w:r>
      <w:r w:rsidR="002A194E" w:rsidRPr="00903A0A">
        <w:rPr>
          <w:b w:val="0"/>
          <w:bCs w:val="0"/>
        </w:rPr>
        <w:t xml:space="preserve">, the facility will </w:t>
      </w:r>
      <w:r w:rsidRPr="00903A0A">
        <w:rPr>
          <w:b w:val="0"/>
          <w:bCs w:val="0"/>
        </w:rPr>
        <w:t xml:space="preserve">operate </w:t>
      </w:r>
      <w:r w:rsidR="00BF6B1C">
        <w:rPr>
          <w:b w:val="0"/>
          <w:bCs w:val="0"/>
        </w:rPr>
        <w:t>each</w:t>
      </w:r>
      <w:r w:rsidR="00BF6B1C" w:rsidRPr="00903A0A">
        <w:rPr>
          <w:b w:val="0"/>
          <w:bCs w:val="0"/>
        </w:rPr>
        <w:t xml:space="preserve"> </w:t>
      </w:r>
      <w:r w:rsidR="00A12DB5" w:rsidRPr="00903A0A">
        <w:rPr>
          <w:b w:val="0"/>
          <w:bCs w:val="0"/>
        </w:rPr>
        <w:t>baghouse (</w:t>
      </w:r>
      <w:r w:rsidR="005A0766" w:rsidRPr="00903A0A">
        <w:rPr>
          <w:b w:val="0"/>
          <w:bCs w:val="0"/>
        </w:rPr>
        <w:t xml:space="preserve">Emission Points </w:t>
      </w:r>
      <w:r w:rsidR="00A12DB5" w:rsidRPr="00903A0A">
        <w:rPr>
          <w:b w:val="0"/>
          <w:bCs w:val="0"/>
        </w:rPr>
        <w:t xml:space="preserve">AA-001, AA-002 and AA-003) at all times the </w:t>
      </w:r>
      <w:r w:rsidR="00BF6B1C">
        <w:rPr>
          <w:b w:val="0"/>
          <w:bCs w:val="0"/>
        </w:rPr>
        <w:t xml:space="preserve">corresponding </w:t>
      </w:r>
      <w:r w:rsidR="00A12DB5" w:rsidRPr="00903A0A">
        <w:rPr>
          <w:b w:val="0"/>
          <w:bCs w:val="0"/>
        </w:rPr>
        <w:t>process equipment is in operation.</w:t>
      </w:r>
      <w:r w:rsidR="00A12DB5">
        <w:rPr>
          <w:b w:val="0"/>
          <w:bCs w:val="0"/>
        </w:rPr>
        <w:t xml:space="preserve"> </w:t>
      </w:r>
    </w:p>
    <w:p w14:paraId="60439D6B" w14:textId="77777777" w:rsidR="001D7E96" w:rsidRDefault="001D7E96" w:rsidP="001D7E96">
      <w:pPr>
        <w:pStyle w:val="Title"/>
        <w:jc w:val="both"/>
        <w:rPr>
          <w:b w:val="0"/>
          <w:bCs w:val="0"/>
        </w:rPr>
      </w:pPr>
    </w:p>
    <w:p w14:paraId="1CFAFC7F" w14:textId="77777777" w:rsidR="001D7E96" w:rsidRDefault="001D7E96" w:rsidP="001D7E96">
      <w:pPr>
        <w:pStyle w:val="Title"/>
        <w:jc w:val="both"/>
        <w:rPr>
          <w:u w:val="single"/>
        </w:rPr>
      </w:pPr>
      <w:r>
        <w:rPr>
          <w:u w:val="single"/>
        </w:rPr>
        <w:t>NSPS APPLICABILITY</w:t>
      </w:r>
    </w:p>
    <w:p w14:paraId="63B559D1" w14:textId="77777777" w:rsidR="001D7E96" w:rsidRDefault="001D7E96" w:rsidP="001D7E96">
      <w:pPr>
        <w:pStyle w:val="Title"/>
        <w:jc w:val="both"/>
        <w:rPr>
          <w:u w:val="single"/>
        </w:rPr>
      </w:pPr>
    </w:p>
    <w:p w14:paraId="3F43A448" w14:textId="77777777" w:rsidR="004A57AE" w:rsidRDefault="004A57AE" w:rsidP="004A57AE">
      <w:pPr>
        <w:pStyle w:val="Title"/>
        <w:jc w:val="both"/>
        <w:rPr>
          <w:b w:val="0"/>
          <w:bCs w:val="0"/>
        </w:rPr>
      </w:pPr>
      <w:r>
        <w:rPr>
          <w:b w:val="0"/>
          <w:bCs w:val="0"/>
        </w:rPr>
        <w:t>There are no applicable NSPS standards</w:t>
      </w:r>
      <w:r w:rsidR="00BF6B1C">
        <w:rPr>
          <w:b w:val="0"/>
          <w:bCs w:val="0"/>
        </w:rPr>
        <w:t xml:space="preserve"> under 40 CFR Part 60.</w:t>
      </w:r>
    </w:p>
    <w:p w14:paraId="21023394" w14:textId="77777777" w:rsidR="001D7E96" w:rsidRDefault="001D7E96" w:rsidP="001D7E96">
      <w:pPr>
        <w:pStyle w:val="Title"/>
        <w:jc w:val="both"/>
        <w:rPr>
          <w:b w:val="0"/>
          <w:bCs w:val="0"/>
        </w:rPr>
      </w:pPr>
    </w:p>
    <w:p w14:paraId="6C816AF0" w14:textId="77777777" w:rsidR="001D7E96" w:rsidRDefault="001D7E96" w:rsidP="001D7E96">
      <w:pPr>
        <w:pStyle w:val="Title"/>
        <w:jc w:val="both"/>
        <w:rPr>
          <w:u w:val="single"/>
        </w:rPr>
      </w:pPr>
      <w:r>
        <w:rPr>
          <w:u w:val="single"/>
        </w:rPr>
        <w:t>MACT APPLICABILITY</w:t>
      </w:r>
    </w:p>
    <w:p w14:paraId="3BF05F8A" w14:textId="77777777" w:rsidR="001D7E96" w:rsidRDefault="001D7E96" w:rsidP="001D7E96">
      <w:pPr>
        <w:pStyle w:val="Title"/>
        <w:jc w:val="both"/>
        <w:rPr>
          <w:u w:val="single"/>
        </w:rPr>
      </w:pPr>
    </w:p>
    <w:p w14:paraId="0F8E0FC5" w14:textId="77777777" w:rsidR="004A57AE" w:rsidRDefault="004A57AE" w:rsidP="004A57AE">
      <w:pPr>
        <w:pStyle w:val="Title"/>
        <w:jc w:val="both"/>
        <w:rPr>
          <w:b w:val="0"/>
          <w:bCs w:val="0"/>
        </w:rPr>
      </w:pPr>
      <w:r>
        <w:rPr>
          <w:b w:val="0"/>
          <w:bCs w:val="0"/>
        </w:rPr>
        <w:t>There are no applicable MACT standards</w:t>
      </w:r>
      <w:r w:rsidR="00BF6B1C">
        <w:rPr>
          <w:b w:val="0"/>
          <w:bCs w:val="0"/>
        </w:rPr>
        <w:t xml:space="preserve"> under 40 CFR Parts 61 and 63.</w:t>
      </w:r>
    </w:p>
    <w:p w14:paraId="57FFBBDA" w14:textId="77777777" w:rsidR="001D7E96" w:rsidRDefault="001D7E96" w:rsidP="001D7E96">
      <w:pPr>
        <w:pStyle w:val="Title"/>
        <w:jc w:val="both"/>
        <w:rPr>
          <w:b w:val="0"/>
          <w:bCs w:val="0"/>
        </w:rPr>
      </w:pPr>
    </w:p>
    <w:p w14:paraId="08D67862" w14:textId="77777777" w:rsidR="00AE785C" w:rsidRDefault="00AE785C">
      <w:pPr>
        <w:spacing w:line="240" w:lineRule="atLeast"/>
        <w:rPr>
          <w:rFonts w:ascii="Tms Rmn" w:hAnsi="Tms Rmn" w:cs="Tms Rmn"/>
          <w:b/>
          <w:bCs/>
          <w:color w:val="000000"/>
          <w:u w:val="single"/>
        </w:rPr>
      </w:pPr>
      <w:r w:rsidRPr="00BC3EB9">
        <w:rPr>
          <w:rFonts w:ascii="Tms Rmn" w:hAnsi="Tms Rmn" w:cs="Tms Rmn"/>
          <w:b/>
          <w:bCs/>
          <w:color w:val="000000"/>
          <w:u w:val="single"/>
        </w:rPr>
        <w:t>PUBLIC PARTICIPATION</w:t>
      </w:r>
    </w:p>
    <w:p w14:paraId="26D50771" w14:textId="77777777" w:rsidR="00AE785C" w:rsidRDefault="00AE785C">
      <w:pPr>
        <w:spacing w:line="240" w:lineRule="atLeast"/>
        <w:rPr>
          <w:rFonts w:ascii="Tms Rmn" w:hAnsi="Tms Rmn" w:cs="Tms Rmn"/>
          <w:b/>
          <w:bCs/>
          <w:color w:val="000000"/>
          <w:u w:val="single"/>
        </w:rPr>
      </w:pPr>
    </w:p>
    <w:p w14:paraId="558B4A99" w14:textId="13632F2D" w:rsidR="00AE785C" w:rsidRDefault="00AE785C">
      <w:pPr>
        <w:pStyle w:val="BodyText2"/>
      </w:pPr>
      <w:r>
        <w:t xml:space="preserve">The 30-day public notice period began on </w:t>
      </w:r>
      <w:r w:rsidR="00177C08">
        <w:t>October 5</w:t>
      </w:r>
      <w:r w:rsidR="00210E2D">
        <w:t>, 2022</w:t>
      </w:r>
      <w:r>
        <w:t xml:space="preserve">, with the publication of a notice in the </w:t>
      </w:r>
      <w:r w:rsidR="00177C08">
        <w:rPr>
          <w:i/>
        </w:rPr>
        <w:t>Newton County Appeal</w:t>
      </w:r>
      <w:r>
        <w:t xml:space="preserve"> and ends</w:t>
      </w:r>
      <w:r w:rsidR="000E6FB0">
        <w:t xml:space="preserve"> </w:t>
      </w:r>
      <w:r w:rsidR="00E4073E">
        <w:t>November 4</w:t>
      </w:r>
      <w:r w:rsidR="00210E2D">
        <w:t>, 2022</w:t>
      </w:r>
      <w:r>
        <w:t>.</w:t>
      </w:r>
    </w:p>
    <w:p w14:paraId="5BB9B389" w14:textId="77777777" w:rsidR="00745139" w:rsidRDefault="00745139">
      <w:pPr>
        <w:spacing w:line="240" w:lineRule="atLeast"/>
        <w:rPr>
          <w:rFonts w:ascii="Tms Rmn" w:hAnsi="Tms Rmn" w:cs="Tms Rmn"/>
          <w:b/>
          <w:bCs/>
          <w:color w:val="000000"/>
          <w:u w:val="single"/>
        </w:rPr>
      </w:pPr>
      <w:bookmarkStart w:id="1" w:name="_GoBack"/>
      <w:bookmarkEnd w:id="1"/>
    </w:p>
    <w:p w14:paraId="7E297472" w14:textId="77777777" w:rsidR="00AE785C" w:rsidRDefault="00AE785C">
      <w:pPr>
        <w:spacing w:line="240" w:lineRule="atLeast"/>
        <w:rPr>
          <w:rFonts w:ascii="Tms Rmn" w:hAnsi="Tms Rmn" w:cs="Tms Rmn"/>
          <w:b/>
          <w:bCs/>
          <w:color w:val="000000"/>
          <w:u w:val="single"/>
        </w:rPr>
      </w:pPr>
      <w:r w:rsidRPr="00B11673">
        <w:rPr>
          <w:rFonts w:ascii="Tms Rmn" w:hAnsi="Tms Rmn" w:cs="Tms Rmn"/>
          <w:b/>
          <w:bCs/>
          <w:color w:val="000000"/>
          <w:u w:val="single"/>
        </w:rPr>
        <w:t>RECOMMENDATION</w:t>
      </w:r>
    </w:p>
    <w:p w14:paraId="176525EA" w14:textId="77777777" w:rsidR="00AE785C" w:rsidRDefault="00AE785C">
      <w:pPr>
        <w:spacing w:line="240" w:lineRule="atLeast"/>
        <w:rPr>
          <w:rFonts w:ascii="Tms Rmn" w:hAnsi="Tms Rmn" w:cs="Tms Rmn"/>
          <w:b/>
          <w:bCs/>
          <w:color w:val="000000"/>
          <w:u w:val="single"/>
        </w:rPr>
      </w:pPr>
    </w:p>
    <w:p w14:paraId="1E6C3616" w14:textId="77777777" w:rsidR="0026446A" w:rsidRDefault="00AE785C">
      <w:pPr>
        <w:pStyle w:val="Title"/>
        <w:jc w:val="both"/>
        <w:rPr>
          <w:rFonts w:ascii="Tms Rmn" w:hAnsi="Tms Rmn" w:cs="Tms Rmn"/>
          <w:b w:val="0"/>
          <w:bCs w:val="0"/>
          <w:snapToGrid w:val="0"/>
          <w:color w:val="000000"/>
        </w:rPr>
      </w:pPr>
      <w:r>
        <w:rPr>
          <w:rFonts w:ascii="Tms Rmn" w:hAnsi="Tms Rmn" w:cs="Tms Rmn"/>
          <w:b w:val="0"/>
          <w:bCs w:val="0"/>
          <w:snapToGrid w:val="0"/>
          <w:color w:val="000000"/>
        </w:rPr>
        <w:t>The staff has preliminarily decided to recommend issuance of the permit to the Mississippi Environmental Quality Permit Board as shown in the draft permit.  However, the staff recommendation to the Board will be made only after a thorough consideration of all public comments.</w:t>
      </w:r>
    </w:p>
    <w:p w14:paraId="3863A6AF" w14:textId="77777777" w:rsidR="00AE785C" w:rsidRDefault="00AE785C">
      <w:pPr>
        <w:pStyle w:val="Title"/>
        <w:jc w:val="both"/>
        <w:rPr>
          <w:rFonts w:ascii="Tms Rmn" w:hAnsi="Tms Rmn" w:cs="Tms Rmn"/>
          <w:b w:val="0"/>
          <w:bCs w:val="0"/>
          <w:snapToGrid w:val="0"/>
          <w:color w:val="000000"/>
        </w:rPr>
      </w:pPr>
    </w:p>
    <w:sectPr w:rsidR="00AE785C" w:rsidSect="0055558F">
      <w:headerReference w:type="default" r:id="rId8"/>
      <w:footerReference w:type="defaul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B4FAC" w14:textId="77777777" w:rsidR="005034DD" w:rsidRDefault="005034DD">
      <w:r>
        <w:separator/>
      </w:r>
    </w:p>
  </w:endnote>
  <w:endnote w:type="continuationSeparator" w:id="0">
    <w:p w14:paraId="09074149" w14:textId="77777777" w:rsidR="005034DD" w:rsidRDefault="005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2E0D" w14:textId="77777777" w:rsidR="00AE785C" w:rsidRPr="000D08EA" w:rsidRDefault="0026446A" w:rsidP="0026446A">
    <w:pPr>
      <w:pStyle w:val="Footer"/>
      <w:rPr>
        <w:sz w:val="20"/>
        <w:szCs w:val="20"/>
      </w:rPr>
    </w:pPr>
    <w:r w:rsidRPr="000D08EA">
      <w:rPr>
        <w:sz w:val="20"/>
        <w:szCs w:val="20"/>
      </w:rPr>
      <w:t>1345 PER20220001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387C" w14:textId="77777777" w:rsidR="00AE785C" w:rsidRPr="000D08EA" w:rsidRDefault="00AE785C">
    <w:pPr>
      <w:pStyle w:val="Footer"/>
      <w:rPr>
        <w:sz w:val="20"/>
        <w:szCs w:val="20"/>
      </w:rPr>
    </w:pPr>
    <w:r w:rsidRPr="000D08EA">
      <w:rPr>
        <w:sz w:val="20"/>
        <w:szCs w:val="20"/>
      </w:rPr>
      <w:t>1345 PER20220001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3D08" w14:textId="77777777" w:rsidR="005034DD" w:rsidRDefault="005034DD">
      <w:r>
        <w:separator/>
      </w:r>
    </w:p>
  </w:footnote>
  <w:footnote w:type="continuationSeparator" w:id="0">
    <w:p w14:paraId="5E16D118" w14:textId="77777777" w:rsidR="005034DD" w:rsidRDefault="0050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A6F9" w14:textId="77777777" w:rsidR="00AE785C" w:rsidRDefault="00AE785C">
    <w:pPr>
      <w:pStyle w:val="Header"/>
      <w:rPr>
        <w:sz w:val="18"/>
        <w:szCs w:val="18"/>
      </w:rPr>
    </w:pPr>
    <w:r>
      <w:rPr>
        <w:sz w:val="18"/>
        <w:szCs w:val="18"/>
      </w:rPr>
      <w:t>Permit Review Summary</w:t>
    </w:r>
  </w:p>
  <w:p w14:paraId="30B46830" w14:textId="2348D02A" w:rsidR="00AE785C" w:rsidRDefault="00AE785C">
    <w:pPr>
      <w:pStyle w:val="Header"/>
      <w:rPr>
        <w:rStyle w:val="PageNumbe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4073E">
      <w:rPr>
        <w:rStyle w:val="PageNumber"/>
        <w:noProof/>
        <w:sz w:val="18"/>
        <w:szCs w:val="18"/>
      </w:rPr>
      <w:t>2</w:t>
    </w:r>
    <w:r>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B1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D06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55279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4FC5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3D3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A36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98319A2"/>
    <w:multiLevelType w:val="hybridMultilevel"/>
    <w:tmpl w:val="26226EAE"/>
    <w:lvl w:ilvl="0" w:tplc="830E4EC4">
      <w:start w:val="1"/>
      <w:numFmt w:val="decimal"/>
      <w:lvlText w:val="%1"/>
      <w:lvlJc w:val="left"/>
      <w:pPr>
        <w:ind w:left="720" w:hanging="360"/>
      </w:pPr>
      <w:rPr>
        <w:rFonts w:cs="Times New Roman" w:hint="default"/>
        <w:sz w:val="22"/>
        <w:szCs w:val="22"/>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B29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22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090F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9"/>
  </w:num>
  <w:num w:numId="5">
    <w:abstractNumId w:val="1"/>
  </w:num>
  <w:num w:numId="6">
    <w:abstractNumId w:val="8"/>
  </w:num>
  <w:num w:numId="7">
    <w:abstractNumId w:val="10"/>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5c'5c'5c'5c'5c'5c'5c'5c'5c'5c'5c'5c'5c'5c'5c'5c'0d\'5c'5c'5c'5c'5c'5c'5c'5c'5c'5c'5c'5c'5c'5c'5c'5c'0d\'5c'5c'5c'5c'5c'5c'5c'5c'5c'5c'5c'5c'5c'5c'5c'5c'0d,   "/>
    <w:docVar w:name="FacilityContact" w:val="man"/>
    <w:docVar w:name="Ref" w:val="Permit 1\'5c'5c'5c'5c'5c'5c'5c'5c'5c'5c'5c'5c'5c'5c'5c'5c'0d\'5c'5c'5c'5c'5c'5c'5c'5c'5c'5c'5c'5c'5c'5c'5c'5c'0aPermit 2\'5c'5c'5c'5c'5c'5c'5c'5c'5c'5c'5c'5c'5c'5c'5c'5c'0d\'5c'5c'5c'5c'5c'5c'5c'5c'5c'5c'5c'5c'5c'5c'5c'5c'0a"/>
  </w:docVars>
  <w:rsids>
    <w:rsidRoot w:val="0026446A"/>
    <w:rsid w:val="00031259"/>
    <w:rsid w:val="00032135"/>
    <w:rsid w:val="000378E5"/>
    <w:rsid w:val="00080C1E"/>
    <w:rsid w:val="0008743B"/>
    <w:rsid w:val="000B037E"/>
    <w:rsid w:val="000C6523"/>
    <w:rsid w:val="000D08EA"/>
    <w:rsid w:val="000E3B88"/>
    <w:rsid w:val="000E657C"/>
    <w:rsid w:val="000E6FB0"/>
    <w:rsid w:val="00177C08"/>
    <w:rsid w:val="001A50F2"/>
    <w:rsid w:val="001D7E96"/>
    <w:rsid w:val="001F5B87"/>
    <w:rsid w:val="00202B67"/>
    <w:rsid w:val="002049DC"/>
    <w:rsid w:val="00210E2D"/>
    <w:rsid w:val="00233312"/>
    <w:rsid w:val="00252E76"/>
    <w:rsid w:val="0026446A"/>
    <w:rsid w:val="00264654"/>
    <w:rsid w:val="002A194E"/>
    <w:rsid w:val="003438E9"/>
    <w:rsid w:val="00361BC2"/>
    <w:rsid w:val="003B2813"/>
    <w:rsid w:val="003B41F3"/>
    <w:rsid w:val="003B4F53"/>
    <w:rsid w:val="00404809"/>
    <w:rsid w:val="00413B62"/>
    <w:rsid w:val="00416BEC"/>
    <w:rsid w:val="00426231"/>
    <w:rsid w:val="004925AE"/>
    <w:rsid w:val="004A57AE"/>
    <w:rsid w:val="004B3162"/>
    <w:rsid w:val="004F41E7"/>
    <w:rsid w:val="005034DD"/>
    <w:rsid w:val="00524DD7"/>
    <w:rsid w:val="00533198"/>
    <w:rsid w:val="0055558F"/>
    <w:rsid w:val="00555B1F"/>
    <w:rsid w:val="00562523"/>
    <w:rsid w:val="00594D6D"/>
    <w:rsid w:val="005A0766"/>
    <w:rsid w:val="005B3890"/>
    <w:rsid w:val="00607F86"/>
    <w:rsid w:val="00671D57"/>
    <w:rsid w:val="00674247"/>
    <w:rsid w:val="00697E82"/>
    <w:rsid w:val="006A1772"/>
    <w:rsid w:val="006A1C41"/>
    <w:rsid w:val="006B2789"/>
    <w:rsid w:val="006B38D2"/>
    <w:rsid w:val="006C7A26"/>
    <w:rsid w:val="006D460F"/>
    <w:rsid w:val="006E0666"/>
    <w:rsid w:val="00745139"/>
    <w:rsid w:val="00750EDD"/>
    <w:rsid w:val="00753CE3"/>
    <w:rsid w:val="00755E47"/>
    <w:rsid w:val="00771954"/>
    <w:rsid w:val="007B3062"/>
    <w:rsid w:val="007E7FB4"/>
    <w:rsid w:val="00817EE8"/>
    <w:rsid w:val="00873998"/>
    <w:rsid w:val="008C68B5"/>
    <w:rsid w:val="00903A0A"/>
    <w:rsid w:val="009041BA"/>
    <w:rsid w:val="009303C2"/>
    <w:rsid w:val="00986DF9"/>
    <w:rsid w:val="009B43DC"/>
    <w:rsid w:val="009C4544"/>
    <w:rsid w:val="00A009B8"/>
    <w:rsid w:val="00A028B8"/>
    <w:rsid w:val="00A11EAD"/>
    <w:rsid w:val="00A12DB5"/>
    <w:rsid w:val="00A21F1D"/>
    <w:rsid w:val="00A36FC5"/>
    <w:rsid w:val="00A45CF6"/>
    <w:rsid w:val="00A56437"/>
    <w:rsid w:val="00A633F8"/>
    <w:rsid w:val="00A86C01"/>
    <w:rsid w:val="00A90E68"/>
    <w:rsid w:val="00A94E2F"/>
    <w:rsid w:val="00AB5062"/>
    <w:rsid w:val="00AD231F"/>
    <w:rsid w:val="00AE785C"/>
    <w:rsid w:val="00AF3C0E"/>
    <w:rsid w:val="00B11673"/>
    <w:rsid w:val="00B40597"/>
    <w:rsid w:val="00B4253C"/>
    <w:rsid w:val="00B43E9A"/>
    <w:rsid w:val="00B64B20"/>
    <w:rsid w:val="00BB0622"/>
    <w:rsid w:val="00BC3EB9"/>
    <w:rsid w:val="00BD401A"/>
    <w:rsid w:val="00BE32F0"/>
    <w:rsid w:val="00BF6B1C"/>
    <w:rsid w:val="00BF79C3"/>
    <w:rsid w:val="00C20810"/>
    <w:rsid w:val="00C41561"/>
    <w:rsid w:val="00C8207E"/>
    <w:rsid w:val="00C87529"/>
    <w:rsid w:val="00C97B8E"/>
    <w:rsid w:val="00D10A16"/>
    <w:rsid w:val="00D3474A"/>
    <w:rsid w:val="00D65C78"/>
    <w:rsid w:val="00D84228"/>
    <w:rsid w:val="00DA2731"/>
    <w:rsid w:val="00E010F4"/>
    <w:rsid w:val="00E4073E"/>
    <w:rsid w:val="00E620BC"/>
    <w:rsid w:val="00E81BEA"/>
    <w:rsid w:val="00E91E61"/>
    <w:rsid w:val="00F25ECB"/>
    <w:rsid w:val="00F56387"/>
    <w:rsid w:val="00F67BC9"/>
    <w:rsid w:val="00FB00EF"/>
    <w:rsid w:val="00FB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2650E"/>
  <w14:defaultImageDpi w14:val="0"/>
  <w15:docId w15:val="{99EF02D4-DAAD-432E-95A4-5CE21B6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Closing" w:semiHidden="1"/>
    <w:lsdException w:name="Signature" w:semiHidden="1"/>
    <w:lsdException w:name="Default Paragraph Font" w:semiHidden="1"/>
    <w:lsdException w:name="Body Text" w:semiHidden="1"/>
    <w:lsdException w:name="Subtitle" w:uiPriority="11" w:qFormat="1"/>
    <w:lsdException w:name="Salutation" w:semiHidden="1" w:unhideWhenUsed="1"/>
    <w:lsdException w:name="Date" w:semiHidden="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widowControl/>
      <w:jc w:val="center"/>
      <w:outlineLvl w:val="0"/>
    </w:pPr>
    <w:rPr>
      <w:b/>
      <w:bCs/>
    </w:rPr>
  </w:style>
  <w:style w:type="paragraph" w:styleId="Heading2">
    <w:name w:val="heading 2"/>
    <w:basedOn w:val="Normal"/>
    <w:next w:val="Normal"/>
    <w:link w:val="Heading2Char"/>
    <w:uiPriority w:val="99"/>
    <w:qFormat/>
    <w:pPr>
      <w:keepNext/>
      <w:widowControl/>
      <w:jc w:val="center"/>
      <w:outlineLvl w:val="1"/>
    </w:pPr>
    <w:rPr>
      <w:b/>
      <w:bCs/>
      <w:sz w:val="28"/>
      <w:szCs w:val="28"/>
    </w:rPr>
  </w:style>
  <w:style w:type="paragraph" w:styleId="Heading3">
    <w:name w:val="heading 3"/>
    <w:basedOn w:val="Normal"/>
    <w:next w:val="Normal"/>
    <w:link w:val="Heading3Char"/>
    <w:uiPriority w:val="99"/>
    <w:qFormat/>
    <w:pPr>
      <w:keepNext/>
      <w:widowControl/>
      <w:outlineLvl w:val="2"/>
    </w:pPr>
    <w:rPr>
      <w:u w:val="single"/>
    </w:rPr>
  </w:style>
  <w:style w:type="paragraph" w:styleId="Heading6">
    <w:name w:val="heading 6"/>
    <w:basedOn w:val="Normal"/>
    <w:next w:val="Normal"/>
    <w:link w:val="Heading6Char"/>
    <w:uiPriority w:val="9"/>
    <w:semiHidden/>
    <w:unhideWhenUsed/>
    <w:qFormat/>
    <w:rsid w:val="004F41E7"/>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6Char">
    <w:name w:val="Heading 6 Char"/>
    <w:basedOn w:val="DefaultParagraphFont"/>
    <w:link w:val="Heading6"/>
    <w:uiPriority w:val="9"/>
    <w:semiHidden/>
    <w:locked/>
    <w:rsid w:val="004F41E7"/>
    <w:rPr>
      <w:rFonts w:asciiTheme="majorHAnsi" w:eastAsiaTheme="majorEastAsia" w:hAnsiTheme="majorHAnsi" w:cs="Times New Roman"/>
      <w:color w:val="243F60" w:themeColor="accent1" w:themeShade="7F"/>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eferenceLine">
    <w:name w:val="Reference Line"/>
    <w:basedOn w:val="BodyText"/>
    <w:uiPriority w:val="99"/>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CcList">
    <w:name w:val="Cc List"/>
    <w:basedOn w:val="Normal"/>
    <w:uiPriority w:val="99"/>
  </w:style>
  <w:style w:type="paragraph" w:styleId="Date">
    <w:name w:val="Date"/>
    <w:basedOn w:val="Normal"/>
    <w:next w:val="Normal"/>
    <w:link w:val="DateChar"/>
    <w:uiPriority w:val="99"/>
    <w:pPr>
      <w:ind w:left="432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2">
    <w:name w:val="Body Text 2"/>
    <w:basedOn w:val="Normal"/>
    <w:link w:val="BodyText2Char"/>
    <w:uiPriority w:val="99"/>
    <w:pPr>
      <w:spacing w:line="240" w:lineRule="atLeast"/>
      <w:jc w:val="both"/>
    </w:pPr>
    <w:rPr>
      <w:rFonts w:ascii="Tms Rmn" w:hAnsi="Tms Rmn" w:cs="Tms Rmn"/>
      <w:color w:val="00000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pPr>
      <w:widowControl/>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671D57"/>
    <w:rPr>
      <w:rFonts w:ascii="Segoe UI" w:hAnsi="Segoe UI" w:cs="Segoe UI"/>
      <w:sz w:val="18"/>
      <w:szCs w:val="18"/>
    </w:rPr>
  </w:style>
  <w:style w:type="character" w:customStyle="1" w:styleId="BalloonTextChar">
    <w:name w:val="Balloon Text Char"/>
    <w:basedOn w:val="DefaultParagraphFont"/>
    <w:link w:val="BalloonText"/>
    <w:uiPriority w:val="99"/>
    <w:locked/>
    <w:rsid w:val="00671D57"/>
    <w:rPr>
      <w:rFonts w:ascii="Segoe UI" w:hAnsi="Segoe UI" w:cs="Segoe UI"/>
      <w:sz w:val="18"/>
      <w:szCs w:val="18"/>
    </w:rPr>
  </w:style>
  <w:style w:type="paragraph" w:styleId="BodyText3">
    <w:name w:val="Body Text 3"/>
    <w:basedOn w:val="Normal"/>
    <w:link w:val="BodyText3Char"/>
    <w:uiPriority w:val="99"/>
    <w:rsid w:val="00B11673"/>
    <w:pPr>
      <w:spacing w:after="120"/>
    </w:pPr>
    <w:rPr>
      <w:sz w:val="16"/>
      <w:szCs w:val="16"/>
    </w:rPr>
  </w:style>
  <w:style w:type="character" w:customStyle="1" w:styleId="BodyText3Char">
    <w:name w:val="Body Text 3 Char"/>
    <w:basedOn w:val="DefaultParagraphFont"/>
    <w:link w:val="BodyText3"/>
    <w:uiPriority w:val="99"/>
    <w:locked/>
    <w:rsid w:val="00B11673"/>
    <w:rPr>
      <w:rFonts w:cs="Times New Roman"/>
      <w:sz w:val="16"/>
      <w:szCs w:val="16"/>
    </w:rPr>
  </w:style>
  <w:style w:type="paragraph" w:styleId="ListParagraph">
    <w:name w:val="List Paragraph"/>
    <w:basedOn w:val="Normal"/>
    <w:uiPriority w:val="34"/>
    <w:qFormat/>
    <w:rsid w:val="00A94E2F"/>
    <w:pPr>
      <w:ind w:left="720"/>
      <w:contextualSpacing/>
    </w:pPr>
  </w:style>
  <w:style w:type="character" w:styleId="CommentReference">
    <w:name w:val="annotation reference"/>
    <w:basedOn w:val="DefaultParagraphFont"/>
    <w:uiPriority w:val="99"/>
    <w:rsid w:val="00A36FC5"/>
    <w:rPr>
      <w:sz w:val="16"/>
      <w:szCs w:val="16"/>
    </w:rPr>
  </w:style>
  <w:style w:type="paragraph" w:styleId="CommentText">
    <w:name w:val="annotation text"/>
    <w:basedOn w:val="Normal"/>
    <w:link w:val="CommentTextChar"/>
    <w:uiPriority w:val="99"/>
    <w:rsid w:val="00A36FC5"/>
    <w:rPr>
      <w:sz w:val="20"/>
      <w:szCs w:val="20"/>
    </w:rPr>
  </w:style>
  <w:style w:type="character" w:customStyle="1" w:styleId="CommentTextChar">
    <w:name w:val="Comment Text Char"/>
    <w:basedOn w:val="DefaultParagraphFont"/>
    <w:link w:val="CommentText"/>
    <w:uiPriority w:val="99"/>
    <w:rsid w:val="00A36FC5"/>
    <w:rPr>
      <w:sz w:val="20"/>
      <w:szCs w:val="20"/>
    </w:rPr>
  </w:style>
  <w:style w:type="paragraph" w:styleId="CommentSubject">
    <w:name w:val="annotation subject"/>
    <w:basedOn w:val="CommentText"/>
    <w:next w:val="CommentText"/>
    <w:link w:val="CommentSubjectChar"/>
    <w:uiPriority w:val="99"/>
    <w:rsid w:val="00A36FC5"/>
    <w:rPr>
      <w:b/>
      <w:bCs/>
    </w:rPr>
  </w:style>
  <w:style w:type="character" w:customStyle="1" w:styleId="CommentSubjectChar">
    <w:name w:val="Comment Subject Char"/>
    <w:basedOn w:val="CommentTextChar"/>
    <w:link w:val="CommentSubject"/>
    <w:uiPriority w:val="99"/>
    <w:rsid w:val="00A36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1854">
      <w:marLeft w:val="0"/>
      <w:marRight w:val="0"/>
      <w:marTop w:val="0"/>
      <w:marBottom w:val="0"/>
      <w:divBdr>
        <w:top w:val="none" w:sz="0" w:space="0" w:color="auto"/>
        <w:left w:val="none" w:sz="0" w:space="0" w:color="auto"/>
        <w:bottom w:val="none" w:sz="0" w:space="0" w:color="auto"/>
        <w:right w:val="none" w:sz="0" w:space="0" w:color="auto"/>
      </w:divBdr>
    </w:div>
    <w:div w:id="694231855">
      <w:marLeft w:val="0"/>
      <w:marRight w:val="0"/>
      <w:marTop w:val="0"/>
      <w:marBottom w:val="0"/>
      <w:divBdr>
        <w:top w:val="none" w:sz="0" w:space="0" w:color="auto"/>
        <w:left w:val="none" w:sz="0" w:space="0" w:color="auto"/>
        <w:bottom w:val="none" w:sz="0" w:space="0" w:color="auto"/>
        <w:right w:val="none" w:sz="0" w:space="0" w:color="auto"/>
      </w:divBdr>
    </w:div>
    <w:div w:id="694231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enSit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31FA-1C39-4551-B798-F691BFC6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enSite Letter.dot</Template>
  <TotalTime>131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afgafgasdgfsd</vt:lpstr>
    </vt:vector>
  </TitlesOfParts>
  <Company>None</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afgafgasdgfsd</dc:title>
  <dc:subject/>
  <dc:creator>Bruce Ferguson</dc:creator>
  <cp:keywords/>
  <dc:description/>
  <cp:lastModifiedBy>Ivelina Pilgrim</cp:lastModifiedBy>
  <cp:revision>22</cp:revision>
  <cp:lastPrinted>2019-01-10T15:50:00Z</cp:lastPrinted>
  <dcterms:created xsi:type="dcterms:W3CDTF">2022-08-12T21:20:00Z</dcterms:created>
  <dcterms:modified xsi:type="dcterms:W3CDTF">2022-09-30T20:23:00Z</dcterms:modified>
</cp:coreProperties>
</file>